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8AD3" w14:textId="77777777" w:rsidR="00B746DA" w:rsidRDefault="00B746DA" w:rsidP="00C14C72">
      <w:pPr>
        <w:pStyle w:val="NormalWeb"/>
        <w:rPr>
          <w:rFonts w:ascii="Arial" w:hAnsi="Arial" w:cs="Arial"/>
          <w:b/>
          <w:bCs/>
          <w:sz w:val="18"/>
          <w:szCs w:val="18"/>
          <w:lang w:val="es-ES"/>
        </w:rPr>
      </w:pPr>
    </w:p>
    <w:p w14:paraId="1CD8197B" w14:textId="17BB1542" w:rsidR="00C13F34" w:rsidRDefault="00C13F34" w:rsidP="00CC6449">
      <w:pPr>
        <w:jc w:val="center"/>
        <w:rPr>
          <w:rFonts w:ascii="Arial" w:hAnsi="Arial" w:cs="Arial"/>
          <w:b/>
          <w:bCs/>
          <w:lang w:val="es-ES"/>
        </w:rPr>
      </w:pPr>
    </w:p>
    <w:p w14:paraId="36E1F60B" w14:textId="62D4C5F4" w:rsidR="005008EF" w:rsidRDefault="005008EF" w:rsidP="00BF0598">
      <w:pPr>
        <w:jc w:val="center"/>
        <w:rPr>
          <w:rFonts w:ascii="Arial" w:hAnsi="Arial" w:cs="Arial"/>
          <w:b/>
          <w:bCs/>
          <w:lang w:val="es-ES"/>
        </w:rPr>
      </w:pPr>
    </w:p>
    <w:p w14:paraId="0CF86257" w14:textId="77777777" w:rsidR="00C811BC" w:rsidRPr="00C811BC" w:rsidRDefault="00C811BC" w:rsidP="00C811BC">
      <w:pPr>
        <w:jc w:val="center"/>
        <w:rPr>
          <w:rFonts w:ascii="Arial" w:hAnsi="Arial" w:cs="Arial"/>
          <w:b/>
          <w:bCs/>
          <w:sz w:val="28"/>
          <w:szCs w:val="28"/>
          <w:lang w:val="es-ES"/>
        </w:rPr>
      </w:pPr>
      <w:r w:rsidRPr="00C811BC">
        <w:rPr>
          <w:rFonts w:ascii="Arial" w:hAnsi="Arial" w:cs="Arial"/>
          <w:b/>
          <w:bCs/>
          <w:sz w:val="28"/>
          <w:szCs w:val="28"/>
          <w:lang w:val="es-ES"/>
        </w:rPr>
        <w:t xml:space="preserve">Hollyland presenta </w:t>
      </w:r>
      <w:proofErr w:type="spellStart"/>
      <w:r w:rsidRPr="00C811BC">
        <w:rPr>
          <w:rFonts w:ascii="Arial" w:hAnsi="Arial" w:cs="Arial"/>
          <w:b/>
          <w:bCs/>
          <w:sz w:val="28"/>
          <w:szCs w:val="28"/>
          <w:lang w:val="es-ES"/>
        </w:rPr>
        <w:t>Pyro</w:t>
      </w:r>
      <w:proofErr w:type="spellEnd"/>
      <w:r w:rsidRPr="00C811BC">
        <w:rPr>
          <w:rFonts w:ascii="Arial" w:hAnsi="Arial" w:cs="Arial"/>
          <w:b/>
          <w:bCs/>
          <w:sz w:val="28"/>
          <w:szCs w:val="28"/>
          <w:lang w:val="es-ES"/>
        </w:rPr>
        <w:t xml:space="preserve"> 7 Ultra, un sistema inalámbrico todo en uno de monitorización para producción cinematográfica profesional</w:t>
      </w:r>
    </w:p>
    <w:p w14:paraId="0FB254E4" w14:textId="77777777" w:rsidR="00C811BC" w:rsidRDefault="00C811BC" w:rsidP="00C811BC">
      <w:pPr>
        <w:jc w:val="both"/>
        <w:rPr>
          <w:rFonts w:ascii="Arial" w:hAnsi="Arial" w:cs="Arial"/>
          <w:i/>
          <w:iCs/>
          <w:lang w:val="es-ES"/>
        </w:rPr>
      </w:pPr>
    </w:p>
    <w:p w14:paraId="2FE16D56" w14:textId="73293A66" w:rsidR="00C811BC" w:rsidRPr="00C811BC" w:rsidRDefault="00C811BC" w:rsidP="00C811BC">
      <w:pPr>
        <w:jc w:val="center"/>
        <w:rPr>
          <w:rFonts w:ascii="Arial" w:hAnsi="Arial" w:cs="Arial"/>
          <w:lang w:val="es-ES"/>
        </w:rPr>
      </w:pPr>
      <w:r w:rsidRPr="00C811BC">
        <w:rPr>
          <w:rFonts w:ascii="Arial" w:hAnsi="Arial" w:cs="Arial"/>
          <w:i/>
          <w:iCs/>
          <w:lang w:val="es-ES"/>
        </w:rPr>
        <w:t xml:space="preserve">Pantalla QD de gran brillo con color de calidad broadcast y transmisión inalámbrica de latencia </w:t>
      </w:r>
      <w:proofErr w:type="spellStart"/>
      <w:r w:rsidRPr="00C811BC">
        <w:rPr>
          <w:rFonts w:ascii="Arial" w:hAnsi="Arial" w:cs="Arial"/>
          <w:i/>
          <w:iCs/>
          <w:lang w:val="es-ES"/>
        </w:rPr>
        <w:t>ultrabaja</w:t>
      </w:r>
      <w:proofErr w:type="spellEnd"/>
      <w:r w:rsidRPr="00C811BC">
        <w:rPr>
          <w:rFonts w:ascii="Arial" w:hAnsi="Arial" w:cs="Arial"/>
          <w:i/>
          <w:iCs/>
          <w:lang w:val="es-ES"/>
        </w:rPr>
        <w:t xml:space="preserve"> con un alcance de hasta 1.000 m</w:t>
      </w:r>
    </w:p>
    <w:p w14:paraId="2D035038" w14:textId="77777777" w:rsidR="00C811BC" w:rsidRDefault="00C811BC" w:rsidP="00C811BC">
      <w:pPr>
        <w:jc w:val="both"/>
        <w:rPr>
          <w:rFonts w:ascii="Arial" w:hAnsi="Arial" w:cs="Arial"/>
          <w:lang w:val="es-ES"/>
        </w:rPr>
      </w:pPr>
    </w:p>
    <w:p w14:paraId="478DD40C" w14:textId="22E3F4BB" w:rsidR="00130801" w:rsidRDefault="00130801" w:rsidP="001015FA">
      <w:pPr>
        <w:jc w:val="right"/>
        <w:rPr>
          <w:rFonts w:ascii="Arial" w:hAnsi="Arial" w:cs="Arial"/>
          <w:lang w:val="es-ES"/>
        </w:rPr>
      </w:pPr>
      <w:r>
        <w:rPr>
          <w:rFonts w:ascii="Arial" w:hAnsi="Arial" w:cs="Arial"/>
          <w:lang w:val="es-ES"/>
        </w:rPr>
        <w:t xml:space="preserve">Madrid, 3 de septiembre 2026 </w:t>
      </w:r>
    </w:p>
    <w:p w14:paraId="2BBC3A45" w14:textId="77777777" w:rsidR="00130801" w:rsidRDefault="00130801" w:rsidP="00C811BC">
      <w:pPr>
        <w:jc w:val="both"/>
        <w:rPr>
          <w:rFonts w:ascii="Arial" w:hAnsi="Arial" w:cs="Arial"/>
          <w:lang w:val="es-ES"/>
        </w:rPr>
      </w:pPr>
    </w:p>
    <w:p w14:paraId="762C4BE3" w14:textId="270CA900" w:rsidR="00C811BC" w:rsidRPr="00C811BC" w:rsidRDefault="00C811BC" w:rsidP="00C811BC">
      <w:pPr>
        <w:jc w:val="both"/>
        <w:rPr>
          <w:rFonts w:ascii="Arial" w:hAnsi="Arial" w:cs="Arial"/>
          <w:lang w:val="es-ES"/>
        </w:rPr>
      </w:pPr>
      <w:r w:rsidRPr="00C811BC">
        <w:rPr>
          <w:rFonts w:ascii="Arial" w:hAnsi="Arial" w:cs="Arial"/>
          <w:lang w:val="es-ES"/>
        </w:rPr>
        <w:t xml:space="preserve">Hollyland, proveedor líder de soluciones inalámbricas para la producción profesional de cine y vídeo y la creación de contenidos, ha anunciado hoy el </w:t>
      </w:r>
      <w:proofErr w:type="spellStart"/>
      <w:r w:rsidRPr="00C811BC">
        <w:rPr>
          <w:rFonts w:ascii="Arial" w:hAnsi="Arial" w:cs="Arial"/>
          <w:lang w:val="es-ES"/>
        </w:rPr>
        <w:t>Pyro</w:t>
      </w:r>
      <w:proofErr w:type="spellEnd"/>
      <w:r w:rsidRPr="00C811BC">
        <w:rPr>
          <w:rFonts w:ascii="Arial" w:hAnsi="Arial" w:cs="Arial"/>
          <w:lang w:val="es-ES"/>
        </w:rPr>
        <w:t xml:space="preserve"> 7 Ultra, un monitor inalámbrico profesional todo en uno de 7 pulgadas que integra una conectividad inalámbrica avanzada y funciones de monitorización profesional en un único dispositivo altamente portátil.</w:t>
      </w:r>
    </w:p>
    <w:p w14:paraId="5C7A5BEB" w14:textId="77777777" w:rsidR="00C811BC" w:rsidRDefault="00C811BC" w:rsidP="00C811BC">
      <w:pPr>
        <w:jc w:val="both"/>
        <w:rPr>
          <w:rFonts w:ascii="Arial" w:hAnsi="Arial" w:cs="Arial"/>
          <w:lang w:val="es-ES"/>
        </w:rPr>
      </w:pPr>
    </w:p>
    <w:p w14:paraId="1C6846E4" w14:textId="140D4770" w:rsidR="00C811BC" w:rsidRPr="00C811BC" w:rsidRDefault="00C811BC" w:rsidP="00C811BC">
      <w:pPr>
        <w:jc w:val="both"/>
        <w:rPr>
          <w:rFonts w:ascii="Arial" w:hAnsi="Arial" w:cs="Arial"/>
          <w:lang w:val="es-ES"/>
        </w:rPr>
      </w:pPr>
      <w:r w:rsidRPr="00C811BC">
        <w:rPr>
          <w:rFonts w:ascii="Arial" w:hAnsi="Arial" w:cs="Arial"/>
          <w:lang w:val="es-ES"/>
        </w:rPr>
        <w:t xml:space="preserve">Diseñado para directores de fotografía, directores, operadores de cámara, DIT y foquistas, el </w:t>
      </w:r>
      <w:proofErr w:type="spellStart"/>
      <w:r w:rsidRPr="00C811BC">
        <w:rPr>
          <w:rFonts w:ascii="Arial" w:hAnsi="Arial" w:cs="Arial"/>
          <w:lang w:val="es-ES"/>
        </w:rPr>
        <w:t>Pyro</w:t>
      </w:r>
      <w:proofErr w:type="spellEnd"/>
      <w:r w:rsidRPr="00C811BC">
        <w:rPr>
          <w:rFonts w:ascii="Arial" w:hAnsi="Arial" w:cs="Arial"/>
          <w:lang w:val="es-ES"/>
        </w:rPr>
        <w:t xml:space="preserve"> 7 Ultra combina una precisión de color de calidad broadcast con una transmisión inalámbrica de vídeo de largo alcance, estable y de baja latencia. El dispositivo simplifica la monitorización sobre cámara, el enfoque inalámbrico y la monitorización móvil para directores, reduciendo la complejidad de las configuraciones y permitiendo un flujo de trabajo de producción más eficiente.</w:t>
      </w:r>
    </w:p>
    <w:p w14:paraId="69135745" w14:textId="77777777" w:rsidR="00C811BC" w:rsidRDefault="00C811BC" w:rsidP="00C811BC">
      <w:pPr>
        <w:jc w:val="both"/>
        <w:rPr>
          <w:rFonts w:ascii="Arial" w:hAnsi="Arial" w:cs="Arial"/>
          <w:lang w:val="es-ES"/>
        </w:rPr>
      </w:pPr>
    </w:p>
    <w:p w14:paraId="74E70290" w14:textId="5D5A3796" w:rsidR="00C811BC" w:rsidRDefault="00C811BC" w:rsidP="00C811BC">
      <w:pPr>
        <w:jc w:val="both"/>
        <w:rPr>
          <w:rFonts w:ascii="Arial" w:hAnsi="Arial" w:cs="Arial"/>
          <w:i/>
          <w:iCs/>
          <w:lang w:val="es-ES"/>
        </w:rPr>
      </w:pPr>
      <w:r w:rsidRPr="00C811BC">
        <w:rPr>
          <w:rFonts w:ascii="Arial" w:hAnsi="Arial" w:cs="Arial"/>
          <w:lang w:val="es-ES"/>
        </w:rPr>
        <w:t xml:space="preserve">Jay </w:t>
      </w:r>
      <w:proofErr w:type="spellStart"/>
      <w:r w:rsidRPr="00C811BC">
        <w:rPr>
          <w:rFonts w:ascii="Arial" w:hAnsi="Arial" w:cs="Arial"/>
          <w:lang w:val="es-ES"/>
        </w:rPr>
        <w:t>Sun</w:t>
      </w:r>
      <w:proofErr w:type="spellEnd"/>
      <w:r w:rsidRPr="00C811BC">
        <w:rPr>
          <w:rFonts w:ascii="Arial" w:hAnsi="Arial" w:cs="Arial"/>
          <w:lang w:val="es-ES"/>
        </w:rPr>
        <w:t xml:space="preserve">, </w:t>
      </w:r>
      <w:proofErr w:type="spellStart"/>
      <w:r w:rsidRPr="00C811BC">
        <w:rPr>
          <w:rFonts w:ascii="Arial" w:hAnsi="Arial" w:cs="Arial"/>
          <w:lang w:val="es-ES"/>
        </w:rPr>
        <w:t>Product</w:t>
      </w:r>
      <w:proofErr w:type="spellEnd"/>
      <w:r w:rsidRPr="00C811BC">
        <w:rPr>
          <w:rFonts w:ascii="Arial" w:hAnsi="Arial" w:cs="Arial"/>
          <w:lang w:val="es-ES"/>
        </w:rPr>
        <w:t xml:space="preserve"> Manager de Hollyland, declaró: </w:t>
      </w:r>
      <w:r w:rsidRPr="00C811BC">
        <w:rPr>
          <w:rFonts w:ascii="Arial" w:hAnsi="Arial" w:cs="Arial"/>
          <w:i/>
          <w:iCs/>
          <w:lang w:val="es-ES"/>
        </w:rPr>
        <w:t xml:space="preserve">«En las producciones profesionales, contar </w:t>
      </w:r>
    </w:p>
    <w:p w14:paraId="67746361" w14:textId="5D25241B" w:rsidR="00C811BC" w:rsidRPr="00C811BC" w:rsidRDefault="00C811BC" w:rsidP="00C811BC">
      <w:pPr>
        <w:jc w:val="both"/>
        <w:rPr>
          <w:rFonts w:ascii="Arial" w:hAnsi="Arial" w:cs="Arial"/>
          <w:lang w:val="es-ES"/>
        </w:rPr>
      </w:pPr>
      <w:r w:rsidRPr="00C811BC">
        <w:rPr>
          <w:rFonts w:ascii="Arial" w:hAnsi="Arial" w:cs="Arial"/>
          <w:i/>
          <w:iCs/>
          <w:lang w:val="es-ES"/>
        </w:rPr>
        <w:t xml:space="preserve">con un monitor preciso es esencial, ya que todos los departamentos necesitan una referencia visual fiable en el set. Incluso pequeñas diferencias de color pueden afectar a la toma de decisiones y generar problemas posteriormente durante la posproducción. Gracias a la tecnología QD-LCD del </w:t>
      </w:r>
      <w:proofErr w:type="spellStart"/>
      <w:r w:rsidRPr="00C811BC">
        <w:rPr>
          <w:rFonts w:ascii="Arial" w:hAnsi="Arial" w:cs="Arial"/>
          <w:i/>
          <w:iCs/>
          <w:lang w:val="es-ES"/>
        </w:rPr>
        <w:t>Pyro</w:t>
      </w:r>
      <w:proofErr w:type="spellEnd"/>
      <w:r w:rsidRPr="00C811BC">
        <w:rPr>
          <w:rFonts w:ascii="Arial" w:hAnsi="Arial" w:cs="Arial"/>
          <w:i/>
          <w:iCs/>
          <w:lang w:val="es-ES"/>
        </w:rPr>
        <w:t xml:space="preserve"> 7 Ultra, los equipos pueden confiar en lo que ven durante el rodaje, con una precisión de color de nivel profesional».</w:t>
      </w:r>
    </w:p>
    <w:p w14:paraId="491B14C4" w14:textId="77777777" w:rsidR="000D7B6F" w:rsidRDefault="000D7B6F" w:rsidP="00C811BC">
      <w:pPr>
        <w:jc w:val="both"/>
        <w:rPr>
          <w:rFonts w:ascii="Arial" w:hAnsi="Arial" w:cs="Arial"/>
          <w:lang w:val="es-ES"/>
        </w:rPr>
      </w:pPr>
    </w:p>
    <w:p w14:paraId="7715762C" w14:textId="2533A3AE" w:rsidR="00C811BC" w:rsidRPr="000D7B6F" w:rsidRDefault="00C811BC" w:rsidP="00C811BC">
      <w:pPr>
        <w:jc w:val="both"/>
        <w:rPr>
          <w:rFonts w:ascii="Arial" w:hAnsi="Arial" w:cs="Arial"/>
          <w:b/>
          <w:bCs/>
          <w:lang w:val="es-ES"/>
        </w:rPr>
      </w:pPr>
      <w:r w:rsidRPr="000D7B6F">
        <w:rPr>
          <w:rFonts w:ascii="Arial" w:hAnsi="Arial" w:cs="Arial"/>
          <w:b/>
          <w:bCs/>
          <w:lang w:val="es-ES"/>
        </w:rPr>
        <w:t xml:space="preserve">Pantalla </w:t>
      </w:r>
      <w:proofErr w:type="spellStart"/>
      <w:r w:rsidRPr="000D7B6F">
        <w:rPr>
          <w:rFonts w:ascii="Arial" w:hAnsi="Arial" w:cs="Arial"/>
          <w:b/>
          <w:bCs/>
          <w:lang w:val="es-ES"/>
        </w:rPr>
        <w:t>precalibrada</w:t>
      </w:r>
      <w:proofErr w:type="spellEnd"/>
      <w:r w:rsidRPr="000D7B6F">
        <w:rPr>
          <w:rFonts w:ascii="Arial" w:hAnsi="Arial" w:cs="Arial"/>
          <w:b/>
          <w:bCs/>
          <w:lang w:val="es-ES"/>
        </w:rPr>
        <w:t xml:space="preserve"> con precisión de color de calidad broadcast</w:t>
      </w:r>
    </w:p>
    <w:p w14:paraId="0C581264" w14:textId="77777777" w:rsidR="000D7B6F" w:rsidRDefault="000D7B6F" w:rsidP="00C811BC">
      <w:pPr>
        <w:jc w:val="both"/>
        <w:rPr>
          <w:rFonts w:ascii="Arial" w:hAnsi="Arial" w:cs="Arial"/>
          <w:lang w:val="es-ES"/>
        </w:rPr>
      </w:pPr>
    </w:p>
    <w:p w14:paraId="0D637272" w14:textId="2EF872C7" w:rsidR="00C811BC" w:rsidRPr="00C811BC" w:rsidRDefault="00C811BC" w:rsidP="00C811BC">
      <w:pPr>
        <w:jc w:val="both"/>
        <w:rPr>
          <w:rFonts w:ascii="Arial" w:hAnsi="Arial" w:cs="Arial"/>
          <w:lang w:val="es-ES"/>
        </w:rPr>
      </w:pPr>
      <w:r w:rsidRPr="00C811BC">
        <w:rPr>
          <w:rFonts w:ascii="Arial" w:hAnsi="Arial" w:cs="Arial"/>
          <w:lang w:val="es-ES"/>
        </w:rPr>
        <w:t xml:space="preserve">El núcleo del </w:t>
      </w:r>
      <w:proofErr w:type="spellStart"/>
      <w:r w:rsidRPr="00C811BC">
        <w:rPr>
          <w:rFonts w:ascii="Arial" w:hAnsi="Arial" w:cs="Arial"/>
          <w:lang w:val="es-ES"/>
        </w:rPr>
        <w:t>Pyro</w:t>
      </w:r>
      <w:proofErr w:type="spellEnd"/>
      <w:r w:rsidRPr="00C811BC">
        <w:rPr>
          <w:rFonts w:ascii="Arial" w:hAnsi="Arial" w:cs="Arial"/>
          <w:lang w:val="es-ES"/>
        </w:rPr>
        <w:t xml:space="preserve"> 7 Ultra es una pantalla QD-LCD premium que ofrece la calidad y consistencia de color de nivel broadcast que requieren las producciones profesionales.</w:t>
      </w:r>
    </w:p>
    <w:p w14:paraId="3B2A27A7" w14:textId="77777777" w:rsidR="00C811BC" w:rsidRPr="00C811BC" w:rsidRDefault="00C811BC" w:rsidP="00C811BC">
      <w:pPr>
        <w:jc w:val="both"/>
        <w:rPr>
          <w:rFonts w:ascii="Arial" w:hAnsi="Arial" w:cs="Arial"/>
          <w:lang w:val="es-ES"/>
        </w:rPr>
      </w:pPr>
      <w:r w:rsidRPr="00C811BC">
        <w:rPr>
          <w:rFonts w:ascii="Arial" w:hAnsi="Arial" w:cs="Arial"/>
          <w:lang w:val="es-ES"/>
        </w:rPr>
        <w:t xml:space="preserve">Cada monitor viene </w:t>
      </w:r>
      <w:proofErr w:type="spellStart"/>
      <w:r w:rsidRPr="00C811BC">
        <w:rPr>
          <w:rFonts w:ascii="Arial" w:hAnsi="Arial" w:cs="Arial"/>
          <w:lang w:val="es-ES"/>
        </w:rPr>
        <w:t>precalibrado</w:t>
      </w:r>
      <w:proofErr w:type="spellEnd"/>
      <w:r w:rsidRPr="00C811BC">
        <w:rPr>
          <w:rFonts w:ascii="Arial" w:hAnsi="Arial" w:cs="Arial"/>
          <w:lang w:val="es-ES"/>
        </w:rPr>
        <w:t xml:space="preserve"> con Calman® para alcanzar un ΔE &lt;1,5, lo que garantiza una reproducción del color de alta precisión desde el primer momento. La pantalla ofrece una cobertura del 99 % del espacio de color Rec.709 y del 95 % de DCI-P3, Gamma 2.4 y un brillo de hasta 1.500 </w:t>
      </w:r>
      <w:proofErr w:type="spellStart"/>
      <w:r w:rsidRPr="00C811BC">
        <w:rPr>
          <w:rFonts w:ascii="Arial" w:hAnsi="Arial" w:cs="Arial"/>
          <w:lang w:val="es-ES"/>
        </w:rPr>
        <w:t>nits</w:t>
      </w:r>
      <w:proofErr w:type="spellEnd"/>
      <w:r w:rsidRPr="00C811BC">
        <w:rPr>
          <w:rFonts w:ascii="Arial" w:hAnsi="Arial" w:cs="Arial"/>
          <w:lang w:val="es-ES"/>
        </w:rPr>
        <w:t>, proporcionando una monitorización fiable incluso en entornos con mucha luz.</w:t>
      </w:r>
    </w:p>
    <w:p w14:paraId="4DB8902C" w14:textId="77777777" w:rsidR="000D7B6F" w:rsidRDefault="000D7B6F" w:rsidP="00C811BC">
      <w:pPr>
        <w:jc w:val="both"/>
        <w:rPr>
          <w:rFonts w:ascii="Arial" w:hAnsi="Arial" w:cs="Arial"/>
          <w:lang w:val="es-ES"/>
        </w:rPr>
      </w:pPr>
    </w:p>
    <w:p w14:paraId="5B3FF9E6" w14:textId="56030A8C" w:rsidR="00C811BC" w:rsidRPr="00C811BC" w:rsidRDefault="00C811BC" w:rsidP="00C811BC">
      <w:pPr>
        <w:jc w:val="both"/>
        <w:rPr>
          <w:rFonts w:ascii="Arial" w:hAnsi="Arial" w:cs="Arial"/>
          <w:lang w:val="es-ES"/>
        </w:rPr>
      </w:pPr>
      <w:r w:rsidRPr="00C811BC">
        <w:rPr>
          <w:rFonts w:ascii="Arial" w:hAnsi="Arial" w:cs="Arial"/>
          <w:lang w:val="es-ES"/>
        </w:rPr>
        <w:t xml:space="preserve">Para mantener la consistencia a largo plazo, los usuarios pueden recalibrar rápidamente la pantalla mediante la solución integral Hollyland Color </w:t>
      </w:r>
      <w:proofErr w:type="spellStart"/>
      <w:r w:rsidRPr="00C811BC">
        <w:rPr>
          <w:rFonts w:ascii="Arial" w:hAnsi="Arial" w:cs="Arial"/>
          <w:lang w:val="es-ES"/>
        </w:rPr>
        <w:t>Calibrator</w:t>
      </w:r>
      <w:proofErr w:type="spellEnd"/>
      <w:r w:rsidRPr="00C811BC">
        <w:rPr>
          <w:rFonts w:ascii="Arial" w:hAnsi="Arial" w:cs="Arial"/>
          <w:lang w:val="es-ES"/>
        </w:rPr>
        <w:t>, sin necesidad de utilizar un PC ni hardware de calibración de terceros.</w:t>
      </w:r>
    </w:p>
    <w:p w14:paraId="0F5D893F" w14:textId="77777777" w:rsidR="000D7B6F" w:rsidRDefault="000D7B6F" w:rsidP="00C811BC">
      <w:pPr>
        <w:jc w:val="both"/>
        <w:rPr>
          <w:rFonts w:ascii="Arial" w:hAnsi="Arial" w:cs="Arial"/>
          <w:lang w:val="es-ES"/>
        </w:rPr>
      </w:pPr>
    </w:p>
    <w:p w14:paraId="4062CA4A" w14:textId="3C7FD6BB" w:rsidR="00C811BC" w:rsidRPr="00C811BC" w:rsidRDefault="00C811BC" w:rsidP="00C811BC">
      <w:pPr>
        <w:jc w:val="both"/>
        <w:rPr>
          <w:rFonts w:ascii="Arial" w:hAnsi="Arial" w:cs="Arial"/>
          <w:lang w:val="es-ES"/>
        </w:rPr>
      </w:pPr>
      <w:r w:rsidRPr="00C811BC">
        <w:rPr>
          <w:rFonts w:ascii="Arial" w:hAnsi="Arial" w:cs="Arial"/>
          <w:lang w:val="es-ES"/>
        </w:rPr>
        <w:t xml:space="preserve">Las interfaces HDMI y SDI admiten funciones de </w:t>
      </w:r>
      <w:proofErr w:type="spellStart"/>
      <w:r w:rsidRPr="00C811BC">
        <w:rPr>
          <w:rFonts w:ascii="Arial" w:hAnsi="Arial" w:cs="Arial"/>
          <w:lang w:val="es-ES"/>
        </w:rPr>
        <w:t>loop-through</w:t>
      </w:r>
      <w:proofErr w:type="spellEnd"/>
      <w:r w:rsidRPr="00C811BC">
        <w:rPr>
          <w:rFonts w:ascii="Arial" w:hAnsi="Arial" w:cs="Arial"/>
          <w:lang w:val="es-ES"/>
        </w:rPr>
        <w:t xml:space="preserve"> y </w:t>
      </w:r>
      <w:proofErr w:type="spellStart"/>
      <w:r w:rsidRPr="00C811BC">
        <w:rPr>
          <w:rFonts w:ascii="Arial" w:hAnsi="Arial" w:cs="Arial"/>
          <w:lang w:val="es-ES"/>
        </w:rPr>
        <w:t>cross</w:t>
      </w:r>
      <w:proofErr w:type="spellEnd"/>
      <w:r w:rsidRPr="00C811BC">
        <w:rPr>
          <w:rFonts w:ascii="Arial" w:hAnsi="Arial" w:cs="Arial"/>
          <w:lang w:val="es-ES"/>
        </w:rPr>
        <w:t>-output. El control de cámara es compatible con determinados modelos de Sony, Canon, Nikon y ARRI, permitiendo controlar de forma rápida y precisa funciones como el obturador, la apertura, el ISO, el balance de blancos y otras opciones.</w:t>
      </w:r>
    </w:p>
    <w:p w14:paraId="112D454C" w14:textId="77777777" w:rsidR="000D7B6F" w:rsidRDefault="000D7B6F" w:rsidP="00C811BC">
      <w:pPr>
        <w:jc w:val="both"/>
        <w:rPr>
          <w:rFonts w:ascii="Arial" w:hAnsi="Arial" w:cs="Arial"/>
          <w:lang w:val="es-ES"/>
        </w:rPr>
      </w:pPr>
    </w:p>
    <w:p w14:paraId="3FD0A643" w14:textId="77777777" w:rsidR="000D7B6F" w:rsidRDefault="000D7B6F" w:rsidP="00C811BC">
      <w:pPr>
        <w:jc w:val="both"/>
        <w:rPr>
          <w:rFonts w:ascii="Arial" w:hAnsi="Arial" w:cs="Arial"/>
          <w:lang w:val="es-ES"/>
        </w:rPr>
      </w:pPr>
    </w:p>
    <w:p w14:paraId="28F75BA4" w14:textId="5C04D0F1" w:rsidR="00C811BC" w:rsidRPr="000D7B6F" w:rsidRDefault="00C811BC" w:rsidP="00C811BC">
      <w:pPr>
        <w:jc w:val="both"/>
        <w:rPr>
          <w:rFonts w:ascii="Arial" w:hAnsi="Arial" w:cs="Arial"/>
          <w:b/>
          <w:bCs/>
          <w:lang w:val="es-ES"/>
        </w:rPr>
      </w:pPr>
      <w:r w:rsidRPr="000D7B6F">
        <w:rPr>
          <w:rFonts w:ascii="Arial" w:hAnsi="Arial" w:cs="Arial"/>
          <w:b/>
          <w:bCs/>
          <w:lang w:val="es-ES"/>
        </w:rPr>
        <w:t>Rendimiento inalámbrico robusto con Twin-</w:t>
      </w:r>
      <w:proofErr w:type="spellStart"/>
      <w:r w:rsidRPr="000D7B6F">
        <w:rPr>
          <w:rFonts w:ascii="Arial" w:hAnsi="Arial" w:cs="Arial"/>
          <w:b/>
          <w:bCs/>
          <w:lang w:val="es-ES"/>
        </w:rPr>
        <w:t>WiFi</w:t>
      </w:r>
      <w:proofErr w:type="spellEnd"/>
    </w:p>
    <w:p w14:paraId="69D6443D" w14:textId="77777777" w:rsidR="000D7B6F" w:rsidRDefault="000D7B6F" w:rsidP="00C811BC">
      <w:pPr>
        <w:jc w:val="both"/>
        <w:rPr>
          <w:rFonts w:ascii="Arial" w:hAnsi="Arial" w:cs="Arial"/>
          <w:lang w:val="es-ES"/>
        </w:rPr>
      </w:pPr>
    </w:p>
    <w:p w14:paraId="3483657D" w14:textId="10C828EA" w:rsidR="00C811BC" w:rsidRPr="00C811BC" w:rsidRDefault="00C811BC" w:rsidP="00C811BC">
      <w:pPr>
        <w:jc w:val="both"/>
        <w:rPr>
          <w:rFonts w:ascii="Arial" w:hAnsi="Arial" w:cs="Arial"/>
          <w:lang w:val="es-ES"/>
        </w:rPr>
      </w:pPr>
      <w:r w:rsidRPr="00C811BC">
        <w:rPr>
          <w:rFonts w:ascii="Arial" w:hAnsi="Arial" w:cs="Arial"/>
          <w:lang w:val="es-ES"/>
        </w:rPr>
        <w:t>Gracias a la tecnología propietaria Twin-</w:t>
      </w:r>
      <w:proofErr w:type="spellStart"/>
      <w:r w:rsidRPr="00C811BC">
        <w:rPr>
          <w:rFonts w:ascii="Arial" w:hAnsi="Arial" w:cs="Arial"/>
          <w:lang w:val="es-ES"/>
        </w:rPr>
        <w:t>WiFi</w:t>
      </w:r>
      <w:proofErr w:type="spellEnd"/>
      <w:r w:rsidRPr="00C811BC">
        <w:rPr>
          <w:rFonts w:ascii="Arial" w:hAnsi="Arial" w:cs="Arial"/>
          <w:lang w:val="es-ES"/>
        </w:rPr>
        <w:t xml:space="preserve"> (</w:t>
      </w:r>
      <w:proofErr w:type="spellStart"/>
      <w:r w:rsidRPr="00C811BC">
        <w:rPr>
          <w:rFonts w:ascii="Arial" w:hAnsi="Arial" w:cs="Arial"/>
          <w:lang w:val="es-ES"/>
        </w:rPr>
        <w:t>TWiFi</w:t>
      </w:r>
      <w:proofErr w:type="spellEnd"/>
      <w:r w:rsidRPr="00C811BC">
        <w:rPr>
          <w:rFonts w:ascii="Arial" w:hAnsi="Arial" w:cs="Arial"/>
          <w:lang w:val="es-ES"/>
        </w:rPr>
        <w:t xml:space="preserve">) de Hollyland, el </w:t>
      </w:r>
      <w:proofErr w:type="spellStart"/>
      <w:r w:rsidRPr="00C811BC">
        <w:rPr>
          <w:rFonts w:ascii="Arial" w:hAnsi="Arial" w:cs="Arial"/>
          <w:lang w:val="es-ES"/>
        </w:rPr>
        <w:t>Pyro</w:t>
      </w:r>
      <w:proofErr w:type="spellEnd"/>
      <w:r w:rsidRPr="00C811BC">
        <w:rPr>
          <w:rFonts w:ascii="Arial" w:hAnsi="Arial" w:cs="Arial"/>
          <w:lang w:val="es-ES"/>
        </w:rPr>
        <w:t xml:space="preserve"> 7 Ultra utiliza simultáneamente dos bandas inalámbricas para crear una conexión resistente de doble vía. El salto automático de frecuencia minimiza las interferencias en entornos de radiofrecuencia congestionados y ayuda a mantener una conexión estable.</w:t>
      </w:r>
    </w:p>
    <w:p w14:paraId="55721957" w14:textId="77777777" w:rsidR="000D7B6F" w:rsidRDefault="000D7B6F" w:rsidP="00C811BC">
      <w:pPr>
        <w:jc w:val="both"/>
        <w:rPr>
          <w:rFonts w:ascii="Arial" w:hAnsi="Arial" w:cs="Arial"/>
          <w:lang w:val="es-ES"/>
        </w:rPr>
      </w:pPr>
    </w:p>
    <w:p w14:paraId="2FD94E1E" w14:textId="428723B8" w:rsidR="00C811BC" w:rsidRPr="00C811BC" w:rsidRDefault="00C811BC" w:rsidP="00C811BC">
      <w:pPr>
        <w:jc w:val="both"/>
        <w:rPr>
          <w:rFonts w:ascii="Arial" w:hAnsi="Arial" w:cs="Arial"/>
          <w:lang w:val="es-ES"/>
        </w:rPr>
      </w:pPr>
      <w:r w:rsidRPr="00C811BC">
        <w:rPr>
          <w:rFonts w:ascii="Arial" w:hAnsi="Arial" w:cs="Arial"/>
          <w:lang w:val="es-ES"/>
        </w:rPr>
        <w:t>El sistema permite la transmisión inalámbrica de vídeo a distancias de hasta 1 km (3.300 pies), con una latencia de tan solo 20 ms en Focus Mode. También admite transmisión de vídeo 4K60 desde un único transmisor hacia un número ilimitado de receptores, lo que lo convierte en una solución ideal para producciones que requieren múltiples puntos de monitorización.</w:t>
      </w:r>
    </w:p>
    <w:p w14:paraId="07677BDC" w14:textId="77777777" w:rsidR="0074645B" w:rsidRDefault="0074645B" w:rsidP="00C811BC">
      <w:pPr>
        <w:jc w:val="both"/>
        <w:rPr>
          <w:rFonts w:ascii="Arial" w:hAnsi="Arial" w:cs="Arial"/>
          <w:lang w:val="es-ES"/>
        </w:rPr>
      </w:pPr>
    </w:p>
    <w:p w14:paraId="3E96A958" w14:textId="4DB08191" w:rsidR="00C811BC" w:rsidRPr="0074645B" w:rsidRDefault="00C811BC" w:rsidP="00C811BC">
      <w:pPr>
        <w:jc w:val="both"/>
        <w:rPr>
          <w:rFonts w:ascii="Arial" w:hAnsi="Arial" w:cs="Arial"/>
          <w:b/>
          <w:bCs/>
          <w:lang w:val="es-ES"/>
        </w:rPr>
      </w:pPr>
      <w:r w:rsidRPr="0074645B">
        <w:rPr>
          <w:rFonts w:ascii="Arial" w:hAnsi="Arial" w:cs="Arial"/>
          <w:b/>
          <w:bCs/>
          <w:lang w:val="es-ES"/>
        </w:rPr>
        <w:t xml:space="preserve">Monitorización profesional con </w:t>
      </w:r>
      <w:proofErr w:type="spellStart"/>
      <w:r w:rsidRPr="0074645B">
        <w:rPr>
          <w:rFonts w:ascii="Arial" w:hAnsi="Arial" w:cs="Arial"/>
          <w:b/>
          <w:bCs/>
          <w:lang w:val="es-ES"/>
        </w:rPr>
        <w:t>HollyOS</w:t>
      </w:r>
      <w:proofErr w:type="spellEnd"/>
    </w:p>
    <w:p w14:paraId="3A456A56" w14:textId="77777777" w:rsidR="00C811BC" w:rsidRDefault="00C811BC" w:rsidP="00C811BC">
      <w:pPr>
        <w:jc w:val="both"/>
        <w:rPr>
          <w:rFonts w:ascii="Arial" w:hAnsi="Arial" w:cs="Arial"/>
          <w:lang w:val="es-ES"/>
        </w:rPr>
      </w:pPr>
    </w:p>
    <w:p w14:paraId="34EB63A5" w14:textId="1678FB17" w:rsidR="00C811BC" w:rsidRPr="00C811BC" w:rsidRDefault="00C811BC" w:rsidP="00C811BC">
      <w:pPr>
        <w:jc w:val="both"/>
        <w:rPr>
          <w:rFonts w:ascii="Arial" w:hAnsi="Arial" w:cs="Arial"/>
          <w:lang w:val="es-ES"/>
        </w:rPr>
      </w:pPr>
      <w:r w:rsidRPr="00C811BC">
        <w:rPr>
          <w:rFonts w:ascii="Arial" w:hAnsi="Arial" w:cs="Arial"/>
          <w:lang w:val="es-ES"/>
        </w:rPr>
        <w:t xml:space="preserve">El </w:t>
      </w:r>
      <w:proofErr w:type="spellStart"/>
      <w:r w:rsidRPr="00C811BC">
        <w:rPr>
          <w:rFonts w:ascii="Arial" w:hAnsi="Arial" w:cs="Arial"/>
          <w:lang w:val="es-ES"/>
        </w:rPr>
        <w:t>Pyro</w:t>
      </w:r>
      <w:proofErr w:type="spellEnd"/>
      <w:r w:rsidRPr="00C811BC">
        <w:rPr>
          <w:rFonts w:ascii="Arial" w:hAnsi="Arial" w:cs="Arial"/>
          <w:lang w:val="es-ES"/>
        </w:rPr>
        <w:t xml:space="preserve"> 7 Ultra incorpora </w:t>
      </w:r>
      <w:proofErr w:type="spellStart"/>
      <w:r w:rsidRPr="00C811BC">
        <w:rPr>
          <w:rFonts w:ascii="Arial" w:hAnsi="Arial" w:cs="Arial"/>
          <w:lang w:val="es-ES"/>
        </w:rPr>
        <w:t>HollyOS</w:t>
      </w:r>
      <w:proofErr w:type="spellEnd"/>
      <w:r w:rsidRPr="00C811BC">
        <w:rPr>
          <w:rFonts w:ascii="Arial" w:hAnsi="Arial" w:cs="Arial"/>
          <w:lang w:val="es-ES"/>
        </w:rPr>
        <w:t>, el sistema operativo de nueva generación de Hollyland diseñado para entornos de producción dinámicos y exigentes.</w:t>
      </w:r>
    </w:p>
    <w:p w14:paraId="455A8024" w14:textId="77777777" w:rsidR="00C811BC" w:rsidRPr="00C811BC" w:rsidRDefault="00C811BC" w:rsidP="00C811BC">
      <w:pPr>
        <w:jc w:val="both"/>
        <w:rPr>
          <w:rFonts w:ascii="Arial" w:hAnsi="Arial" w:cs="Arial"/>
          <w:lang w:val="es-ES"/>
        </w:rPr>
      </w:pPr>
      <w:r w:rsidRPr="00C811BC">
        <w:rPr>
          <w:rFonts w:ascii="Arial" w:hAnsi="Arial" w:cs="Arial"/>
          <w:lang w:val="es-ES"/>
        </w:rPr>
        <w:t>Su interfaz intuitiva ofrece controles directos de la pantalla, diseños de monitorización personalizables y una amplia gama de herramientas profesionales de análisis de imagen.</w:t>
      </w:r>
    </w:p>
    <w:p w14:paraId="016EE5F8" w14:textId="77777777" w:rsidR="00C811BC" w:rsidRDefault="00C811BC" w:rsidP="00C811BC">
      <w:pPr>
        <w:jc w:val="both"/>
        <w:rPr>
          <w:rFonts w:ascii="Arial" w:hAnsi="Arial" w:cs="Arial"/>
          <w:lang w:val="es-ES"/>
        </w:rPr>
      </w:pPr>
    </w:p>
    <w:p w14:paraId="3BF2BEB1" w14:textId="6AB01DAA" w:rsidR="00C811BC" w:rsidRPr="0074645B" w:rsidRDefault="00C811BC" w:rsidP="00C811BC">
      <w:pPr>
        <w:jc w:val="both"/>
        <w:rPr>
          <w:rFonts w:ascii="Arial" w:hAnsi="Arial" w:cs="Arial"/>
          <w:b/>
          <w:bCs/>
          <w:lang w:val="es-ES"/>
        </w:rPr>
      </w:pPr>
      <w:r w:rsidRPr="0074645B">
        <w:rPr>
          <w:rFonts w:ascii="Arial" w:hAnsi="Arial" w:cs="Arial"/>
          <w:b/>
          <w:bCs/>
          <w:lang w:val="es-ES"/>
        </w:rPr>
        <w:t>Un ecosistema unificado para producciones multicámara</w:t>
      </w:r>
    </w:p>
    <w:p w14:paraId="3C4C366D" w14:textId="77777777" w:rsidR="0074645B" w:rsidRDefault="0074645B" w:rsidP="00C811BC">
      <w:pPr>
        <w:jc w:val="both"/>
        <w:rPr>
          <w:rFonts w:ascii="Arial" w:hAnsi="Arial" w:cs="Arial"/>
          <w:lang w:val="es-ES"/>
        </w:rPr>
      </w:pPr>
    </w:p>
    <w:p w14:paraId="6A8A6F6E" w14:textId="280754C8" w:rsidR="00C811BC" w:rsidRPr="00C811BC" w:rsidRDefault="00C811BC" w:rsidP="00C811BC">
      <w:pPr>
        <w:jc w:val="both"/>
        <w:rPr>
          <w:rFonts w:ascii="Arial" w:hAnsi="Arial" w:cs="Arial"/>
          <w:lang w:val="es-ES"/>
        </w:rPr>
      </w:pPr>
      <w:r w:rsidRPr="00C811BC">
        <w:rPr>
          <w:rFonts w:ascii="Arial" w:hAnsi="Arial" w:cs="Arial"/>
          <w:lang w:val="es-ES"/>
        </w:rPr>
        <w:t xml:space="preserve">A diferencia de las soluciones de monitorización inalámbrica independientes, el </w:t>
      </w:r>
      <w:proofErr w:type="spellStart"/>
      <w:r w:rsidRPr="00C811BC">
        <w:rPr>
          <w:rFonts w:ascii="Arial" w:hAnsi="Arial" w:cs="Arial"/>
          <w:lang w:val="es-ES"/>
        </w:rPr>
        <w:t>Pyro</w:t>
      </w:r>
      <w:proofErr w:type="spellEnd"/>
      <w:r w:rsidRPr="00C811BC">
        <w:rPr>
          <w:rFonts w:ascii="Arial" w:hAnsi="Arial" w:cs="Arial"/>
          <w:lang w:val="es-ES"/>
        </w:rPr>
        <w:t xml:space="preserve"> 7 Ultra ha sido diseñado como parte del amplio ecosistema </w:t>
      </w:r>
      <w:proofErr w:type="spellStart"/>
      <w:r w:rsidRPr="00C811BC">
        <w:rPr>
          <w:rFonts w:ascii="Arial" w:hAnsi="Arial" w:cs="Arial"/>
          <w:lang w:val="es-ES"/>
        </w:rPr>
        <w:t>Pyro</w:t>
      </w:r>
      <w:proofErr w:type="spellEnd"/>
      <w:r w:rsidRPr="00C811BC">
        <w:rPr>
          <w:rFonts w:ascii="Arial" w:hAnsi="Arial" w:cs="Arial"/>
          <w:lang w:val="es-ES"/>
        </w:rPr>
        <w:t xml:space="preserve"> de Hollyland.</w:t>
      </w:r>
    </w:p>
    <w:p w14:paraId="52964A60" w14:textId="77777777" w:rsidR="00C811BC" w:rsidRDefault="00C811BC" w:rsidP="00C811BC">
      <w:pPr>
        <w:jc w:val="both"/>
        <w:rPr>
          <w:rFonts w:ascii="Arial" w:hAnsi="Arial" w:cs="Arial"/>
          <w:lang w:val="es-ES"/>
        </w:rPr>
      </w:pPr>
    </w:p>
    <w:p w14:paraId="5BE1B4B6" w14:textId="2CA860CC" w:rsidR="00C811BC" w:rsidRPr="00C811BC" w:rsidRDefault="00C811BC" w:rsidP="00C811BC">
      <w:pPr>
        <w:jc w:val="both"/>
        <w:rPr>
          <w:rFonts w:ascii="Arial" w:hAnsi="Arial" w:cs="Arial"/>
          <w:lang w:val="es-ES"/>
        </w:rPr>
      </w:pPr>
      <w:r w:rsidRPr="00C811BC">
        <w:rPr>
          <w:rFonts w:ascii="Arial" w:hAnsi="Arial" w:cs="Arial"/>
          <w:lang w:val="es-ES"/>
        </w:rPr>
        <w:t xml:space="preserve">Puede combinarse con transmisores, receptores y monitores </w:t>
      </w:r>
      <w:proofErr w:type="spellStart"/>
      <w:r w:rsidRPr="00C811BC">
        <w:rPr>
          <w:rFonts w:ascii="Arial" w:hAnsi="Arial" w:cs="Arial"/>
          <w:lang w:val="es-ES"/>
        </w:rPr>
        <w:t>Pyro</w:t>
      </w:r>
      <w:proofErr w:type="spellEnd"/>
      <w:r w:rsidRPr="00C811BC">
        <w:rPr>
          <w:rFonts w:ascii="Arial" w:hAnsi="Arial" w:cs="Arial"/>
          <w:lang w:val="es-ES"/>
        </w:rPr>
        <w:t xml:space="preserve"> compatibles, permitiendo a los equipos de producción ampliar o reconfigurar sus flujos de trabajo de monitorización inalámbrica sin preocuparse por problemas de interoperabilidad ni por retrasos en la producción.</w:t>
      </w:r>
    </w:p>
    <w:p w14:paraId="40197B9F" w14:textId="77777777" w:rsidR="00C811BC" w:rsidRDefault="00C811BC" w:rsidP="00C811BC">
      <w:pPr>
        <w:jc w:val="both"/>
        <w:rPr>
          <w:rFonts w:ascii="Arial" w:hAnsi="Arial" w:cs="Arial"/>
          <w:lang w:val="es-ES"/>
        </w:rPr>
      </w:pPr>
    </w:p>
    <w:p w14:paraId="7CDE9D94" w14:textId="0F90C670" w:rsidR="00C811BC" w:rsidRDefault="00C811BC" w:rsidP="00C811BC">
      <w:pPr>
        <w:jc w:val="both"/>
        <w:rPr>
          <w:rFonts w:ascii="Arial" w:hAnsi="Arial" w:cs="Arial"/>
          <w:lang w:val="es-ES"/>
        </w:rPr>
      </w:pPr>
      <w:r w:rsidRPr="00C811BC">
        <w:rPr>
          <w:rFonts w:ascii="Arial" w:hAnsi="Arial" w:cs="Arial"/>
          <w:lang w:val="es-ES"/>
        </w:rPr>
        <w:t>El resultado es un sistema fiable, flexible y escalable, capaz de adaptarse fácilmente a producciones de cualquier tamaño.</w:t>
      </w:r>
    </w:p>
    <w:p w14:paraId="192084BB" w14:textId="77777777" w:rsidR="00C811BC" w:rsidRPr="00C811BC" w:rsidRDefault="00C811BC" w:rsidP="00C811BC">
      <w:pPr>
        <w:jc w:val="both"/>
        <w:rPr>
          <w:rFonts w:ascii="Arial" w:hAnsi="Arial" w:cs="Arial"/>
          <w:lang w:val="es-ES"/>
        </w:rPr>
      </w:pPr>
    </w:p>
    <w:p w14:paraId="58726345" w14:textId="5EB771DE" w:rsidR="007D0808" w:rsidRPr="00FF08D8" w:rsidRDefault="007D0808" w:rsidP="00B661E3">
      <w:pPr>
        <w:jc w:val="both"/>
        <w:rPr>
          <w:rFonts w:ascii="Arial" w:hAnsi="Arial" w:cs="Arial"/>
          <w:b/>
          <w:bCs/>
          <w:lang w:val="es-ES"/>
        </w:rPr>
      </w:pPr>
      <w:r w:rsidRPr="00FF08D8">
        <w:rPr>
          <w:rFonts w:ascii="Arial" w:hAnsi="Arial" w:cs="Arial"/>
          <w:b/>
          <w:bCs/>
          <w:lang w:val="es-ES"/>
        </w:rPr>
        <w:t xml:space="preserve">Acerca de Hollyland </w:t>
      </w:r>
    </w:p>
    <w:p w14:paraId="6DBB6AAE" w14:textId="77777777" w:rsidR="00490947" w:rsidRPr="00FF08D8" w:rsidRDefault="00490947" w:rsidP="00B661E3">
      <w:pPr>
        <w:jc w:val="both"/>
        <w:rPr>
          <w:rFonts w:ascii="Arial" w:hAnsi="Arial" w:cs="Arial"/>
          <w:b/>
          <w:bCs/>
          <w:lang w:val="es-ES"/>
        </w:rPr>
      </w:pPr>
    </w:p>
    <w:p w14:paraId="3AC775EF" w14:textId="6098AB4A" w:rsidR="009654A5" w:rsidRPr="00FF08D8" w:rsidRDefault="00FF08D8" w:rsidP="009654A5">
      <w:pPr>
        <w:jc w:val="both"/>
        <w:rPr>
          <w:rFonts w:ascii="Arial" w:hAnsi="Arial" w:cs="Arial"/>
          <w:lang w:val="es-ES"/>
        </w:rPr>
      </w:pPr>
      <w:r w:rsidRPr="00FF08D8">
        <w:rPr>
          <w:rFonts w:ascii="Arial" w:hAnsi="Arial" w:cs="Arial"/>
          <w:lang w:val="es-ES"/>
        </w:rPr>
        <w:t>Hollyland es un proveedor líder de productos inalámbricos, especializado en sistemas de intercomunicación inalámbricos, sistemas de transmisión de video, monitores, micrófonos inalámbricos y cámaras para transmisión en vivo. Desde 2013, Hollyland ha estado sirviendo a millones de usuarios en todo el mundo en diversos sectores, incluyendo la cinematografía, la transmisión televisiva, la producción de video, eventos en vivo, exposiciones, teatros, lugares de culto y creadores de contenido individuales. Ha construido una red de ventas que abarca aproximadamente 150 países y regiones con el apoyo de docenas de oficinas de operación localizadas en todo el mundo.</w:t>
      </w:r>
    </w:p>
    <w:p w14:paraId="3F6D47C8" w14:textId="77777777" w:rsidR="00FF08D8" w:rsidRDefault="00FF08D8" w:rsidP="00A23FCF">
      <w:pPr>
        <w:spacing w:line="276" w:lineRule="auto"/>
        <w:jc w:val="both"/>
        <w:rPr>
          <w:rFonts w:ascii="Arial" w:eastAsia="Malgun Gothic" w:hAnsi="Arial" w:cs="Arial"/>
          <w:lang w:val="es-ES"/>
        </w:rPr>
      </w:pPr>
    </w:p>
    <w:p w14:paraId="097E55F2" w14:textId="610607FC" w:rsidR="00322093" w:rsidRPr="00FF08D8" w:rsidRDefault="00322093" w:rsidP="00A23FCF">
      <w:pPr>
        <w:spacing w:line="276" w:lineRule="auto"/>
        <w:jc w:val="both"/>
        <w:rPr>
          <w:rFonts w:ascii="Arial" w:eastAsia="Malgun Gothic" w:hAnsi="Arial" w:cs="Arial"/>
          <w:lang w:val="es-ES"/>
        </w:rPr>
      </w:pPr>
      <w:r w:rsidRPr="00322093">
        <w:rPr>
          <w:rFonts w:ascii="Arial" w:eastAsia="Malgun Gothic" w:hAnsi="Arial" w:cs="Arial"/>
          <w:lang w:val="es-ES"/>
        </w:rPr>
        <w:t xml:space="preserve">Puede encontrar más información sobre Hollyland en la web oficial y redes sociales de su distribuidor oficial en España, Rodolfo Biber, SA. </w:t>
      </w:r>
      <w:r w:rsidRPr="00FF08D8">
        <w:rPr>
          <w:rFonts w:ascii="Arial" w:eastAsia="Malgun Gothic" w:hAnsi="Arial" w:cs="Arial"/>
          <w:lang w:val="es-ES"/>
        </w:rPr>
        <w:t>(Robisa):</w:t>
      </w:r>
    </w:p>
    <w:p w14:paraId="625F1E92" w14:textId="77777777" w:rsidR="00322093" w:rsidRPr="00FF08D8" w:rsidRDefault="00322093" w:rsidP="00B661E3">
      <w:pPr>
        <w:spacing w:line="360" w:lineRule="auto"/>
        <w:jc w:val="both"/>
        <w:rPr>
          <w:rFonts w:ascii="Arial" w:eastAsia="Malgun Gothic" w:hAnsi="Arial" w:cs="Arial"/>
          <w:lang w:val="es-ES"/>
        </w:rPr>
      </w:pPr>
    </w:p>
    <w:p w14:paraId="197C7B0E"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Web:</w:t>
      </w:r>
      <w:r w:rsidRPr="00B661E3">
        <w:rPr>
          <w:rFonts w:ascii="Arial" w:hAnsi="Arial" w:cs="Arial"/>
        </w:rPr>
        <w:t xml:space="preserve"> </w:t>
      </w:r>
      <w:hyperlink r:id="rId11" w:history="1">
        <w:r w:rsidRPr="00B661E3">
          <w:rPr>
            <w:rStyle w:val="Hipervnculo"/>
            <w:rFonts w:ascii="Arial" w:hAnsi="Arial" w:cs="Arial"/>
          </w:rPr>
          <w:t>https://www.robisa.es/hollyland/</w:t>
        </w:r>
      </w:hyperlink>
      <w:r w:rsidRPr="00B661E3">
        <w:rPr>
          <w:rFonts w:ascii="Arial" w:hAnsi="Arial" w:cs="Arial"/>
        </w:rPr>
        <w:t xml:space="preserve"> </w:t>
      </w:r>
    </w:p>
    <w:p w14:paraId="3E6BB553"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Shop: </w:t>
      </w:r>
      <w:hyperlink r:id="rId12" w:history="1">
        <w:r w:rsidRPr="00B661E3">
          <w:rPr>
            <w:rStyle w:val="Hipervnculo"/>
            <w:rFonts w:ascii="Arial" w:eastAsiaTheme="minorHAnsi" w:hAnsi="Arial" w:cs="Arial"/>
          </w:rPr>
          <w:t>https://www.robisa.es/shop/123-hollyland</w:t>
        </w:r>
      </w:hyperlink>
    </w:p>
    <w:p w14:paraId="5F1FDB48"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Facebook: </w:t>
      </w:r>
      <w:hyperlink r:id="rId13" w:history="1">
        <w:r w:rsidRPr="00B661E3">
          <w:rPr>
            <w:rStyle w:val="Hipervnculo"/>
            <w:rFonts w:ascii="Arial" w:eastAsiaTheme="minorHAnsi" w:hAnsi="Arial" w:cs="Arial"/>
          </w:rPr>
          <w:t>@robisa</w:t>
        </w:r>
      </w:hyperlink>
    </w:p>
    <w:p w14:paraId="56BC4A23"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Instagram: </w:t>
      </w:r>
      <w:hyperlink r:id="rId14" w:history="1">
        <w:r w:rsidRPr="00B661E3">
          <w:rPr>
            <w:rStyle w:val="Hipervnculo"/>
            <w:rFonts w:ascii="Arial" w:eastAsiaTheme="minorHAnsi" w:hAnsi="Arial" w:cs="Arial"/>
          </w:rPr>
          <w:t>@robisa</w:t>
        </w:r>
      </w:hyperlink>
    </w:p>
    <w:p w14:paraId="0DCB281B" w14:textId="658A9142" w:rsidR="00663B53" w:rsidRPr="00B661E3" w:rsidRDefault="001708E3" w:rsidP="00B661E3">
      <w:pPr>
        <w:pStyle w:val="Prrafodelista"/>
        <w:numPr>
          <w:ilvl w:val="0"/>
          <w:numId w:val="3"/>
        </w:numPr>
        <w:spacing w:line="360" w:lineRule="auto"/>
        <w:jc w:val="both"/>
        <w:rPr>
          <w:rFonts w:ascii="Arial" w:eastAsia="PMingLiU" w:hAnsi="Arial" w:cs="Arial"/>
        </w:rPr>
      </w:pPr>
      <w:r>
        <w:rPr>
          <w:rFonts w:ascii="Arial" w:eastAsiaTheme="minorHAnsi" w:hAnsi="Arial" w:cs="Arial"/>
        </w:rPr>
        <w:t>X</w:t>
      </w:r>
      <w:r w:rsidR="00663B53" w:rsidRPr="00B661E3">
        <w:rPr>
          <w:rFonts w:ascii="Arial" w:eastAsiaTheme="minorHAnsi" w:hAnsi="Arial" w:cs="Arial"/>
        </w:rPr>
        <w:t xml:space="preserve">: </w:t>
      </w:r>
      <w:hyperlink r:id="rId15" w:history="1">
        <w:r w:rsidR="00663B53" w:rsidRPr="00B661E3">
          <w:rPr>
            <w:rStyle w:val="Hipervnculo"/>
            <w:rFonts w:ascii="Arial" w:eastAsiaTheme="minorHAnsi" w:hAnsi="Arial" w:cs="Arial"/>
          </w:rPr>
          <w:t>@robisa</w:t>
        </w:r>
      </w:hyperlink>
    </w:p>
    <w:p w14:paraId="22220FE4" w14:textId="77777777" w:rsidR="00663B53" w:rsidRPr="007F5C0D" w:rsidRDefault="00663B53" w:rsidP="00B661E3">
      <w:pPr>
        <w:jc w:val="both"/>
        <w:rPr>
          <w:rFonts w:ascii="Arial" w:hAnsi="Arial" w:cs="Arial"/>
        </w:rPr>
      </w:pPr>
    </w:p>
    <w:sectPr w:rsidR="00663B53" w:rsidRPr="007F5C0D">
      <w:headerReference w:type="default" r:id="rId16"/>
      <w:footerReference w:type="default" r:id="rId17"/>
      <w:pgSz w:w="12240" w:h="15840"/>
      <w:pgMar w:top="1134"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24F86" w14:textId="77777777" w:rsidR="00BC72FD" w:rsidRDefault="00BC72FD">
      <w:r>
        <w:separator/>
      </w:r>
    </w:p>
  </w:endnote>
  <w:endnote w:type="continuationSeparator" w:id="0">
    <w:p w14:paraId="423851BD" w14:textId="77777777" w:rsidR="00BC72FD" w:rsidRDefault="00BC72FD">
      <w:r>
        <w:continuationSeparator/>
      </w:r>
    </w:p>
  </w:endnote>
  <w:endnote w:type="continuationNotice" w:id="1">
    <w:p w14:paraId="14938CD7" w14:textId="77777777" w:rsidR="00BC72FD" w:rsidRDefault="00BC7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panose1 w:val="00000000000000000000"/>
    <w:charset w:val="00"/>
    <w:family w:val="modern"/>
    <w:notTrueType/>
    <w:pitch w:val="variable"/>
    <w:sig w:usb0="A000002F"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Alata">
    <w:altName w:val="Cambria"/>
    <w:panose1 w:val="00000000000000000000"/>
    <w:charset w:val="00"/>
    <w:family w:val="roman"/>
    <w:notTrueType/>
    <w:pitch w:val="default"/>
  </w:font>
  <w:font w:name="Microsoft PhagsPa">
    <w:panose1 w:val="020B0502040204020203"/>
    <w:charset w:val="00"/>
    <w:family w:val="swiss"/>
    <w:pitch w:val="variable"/>
    <w:sig w:usb0="00000003" w:usb1="00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B94" w14:textId="77777777" w:rsidR="00347253" w:rsidRDefault="00347253" w:rsidP="00347253">
    <w:pPr>
      <w:pStyle w:val="Piedepgina"/>
      <w:jc w:val="center"/>
      <w:rPr>
        <w:rFonts w:ascii="Arial" w:hAnsi="Arial" w:cs="Arial"/>
        <w:sz w:val="14"/>
        <w:szCs w:val="14"/>
        <w:lang w:val="pt-PT"/>
      </w:rPr>
    </w:pPr>
    <w:r>
      <w:rPr>
        <w:rFonts w:ascii="Arial" w:hAnsi="Arial" w:cs="Arial"/>
        <w:sz w:val="14"/>
        <w:szCs w:val="14"/>
        <w:lang w:val="pt-PT"/>
      </w:rPr>
      <w:t>DISTRIBUIDOR OFICIAL:</w:t>
    </w:r>
    <w:r>
      <w:rPr>
        <w:rFonts w:ascii="Arial" w:hAnsi="Arial" w:cs="Arial"/>
        <w:sz w:val="14"/>
        <w:szCs w:val="14"/>
        <w:lang w:val="pt-PT"/>
      </w:rPr>
      <w:br/>
    </w:r>
  </w:p>
  <w:p w14:paraId="7E881DE9" w14:textId="77777777" w:rsidR="00347253" w:rsidRPr="00A97B08" w:rsidRDefault="00347253" w:rsidP="00347253">
    <w:pPr>
      <w:pStyle w:val="Piedepgina"/>
      <w:jc w:val="center"/>
      <w:rPr>
        <w:rFonts w:ascii="Arial" w:hAnsi="Arial" w:cs="Arial"/>
        <w:sz w:val="14"/>
        <w:szCs w:val="14"/>
        <w:lang w:val="pt-PT"/>
      </w:rPr>
    </w:pPr>
    <w:r w:rsidRPr="009E7BF8">
      <w:rPr>
        <w:rFonts w:ascii="Arial" w:hAnsi="Arial" w:cs="Arial"/>
        <w:sz w:val="14"/>
        <w:szCs w:val="14"/>
        <w:lang w:val="pt-PT"/>
      </w:rPr>
      <w:t xml:space="preserve">Rodolfo Biber, S.A.       Salcedo, 8     E - 28034 Madrid      Tel: +34 91 7292711      </w:t>
    </w:r>
    <w:hyperlink r:id="rId1" w:history="1">
      <w:r w:rsidRPr="009E7BF8">
        <w:rPr>
          <w:rStyle w:val="Hipervnculo"/>
          <w:rFonts w:ascii="Arial" w:hAnsi="Arial" w:cs="Arial"/>
          <w:sz w:val="14"/>
          <w:szCs w:val="14"/>
          <w:lang w:val="pt-PT"/>
        </w:rPr>
        <w:t>info@robisa.es</w:t>
      </w:r>
    </w:hyperlink>
    <w:r w:rsidRPr="009E7BF8">
      <w:rPr>
        <w:rFonts w:ascii="Arial" w:hAnsi="Arial" w:cs="Arial"/>
        <w:sz w:val="14"/>
        <w:szCs w:val="14"/>
        <w:lang w:val="pt-PT"/>
      </w:rPr>
      <w:t xml:space="preserve">      </w:t>
    </w:r>
    <w:hyperlink r:id="rId2" w:history="1">
      <w:r w:rsidRPr="009E7BF8">
        <w:rPr>
          <w:rStyle w:val="Hipervnculo"/>
          <w:rFonts w:ascii="Arial" w:hAnsi="Arial" w:cs="Arial"/>
          <w:sz w:val="14"/>
          <w:szCs w:val="14"/>
          <w:lang w:val="pt-PT"/>
        </w:rPr>
        <w:t>www.robisa.es</w:t>
      </w:r>
    </w:hyperlink>
  </w:p>
  <w:p w14:paraId="035C7422" w14:textId="77777777" w:rsidR="00347253" w:rsidRPr="00347253" w:rsidRDefault="00347253">
    <w:pPr>
      <w:pStyle w:val="Piedepgina"/>
      <w:rPr>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B24BD" w14:textId="77777777" w:rsidR="00BC72FD" w:rsidRDefault="00BC72FD">
      <w:r>
        <w:separator/>
      </w:r>
    </w:p>
  </w:footnote>
  <w:footnote w:type="continuationSeparator" w:id="0">
    <w:p w14:paraId="7599BD95" w14:textId="77777777" w:rsidR="00BC72FD" w:rsidRDefault="00BC72FD">
      <w:r>
        <w:continuationSeparator/>
      </w:r>
    </w:p>
  </w:footnote>
  <w:footnote w:type="continuationNotice" w:id="1">
    <w:p w14:paraId="0DB9C23C" w14:textId="77777777" w:rsidR="00BC72FD" w:rsidRDefault="00BC7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03710" w14:textId="143BB447" w:rsidR="00A34580" w:rsidRDefault="00A34580">
    <w:pPr>
      <w:pStyle w:val="HeaderFooter"/>
    </w:pPr>
  </w:p>
  <w:p w14:paraId="0FE5B92A" w14:textId="39CC963B" w:rsidR="00C8082F" w:rsidRDefault="00A755CE" w:rsidP="00C8082F">
    <w:pPr>
      <w:pStyle w:val="HeaderFooter"/>
      <w:jc w:val="center"/>
    </w:pPr>
    <w:r>
      <w:rPr>
        <w:noProof/>
      </w:rPr>
      <w:drawing>
        <wp:anchor distT="0" distB="0" distL="114300" distR="114300" simplePos="0" relativeHeight="251658241" behindDoc="0" locked="0" layoutInCell="1" allowOverlap="1" wp14:anchorId="620760D2" wp14:editId="2E404FB5">
          <wp:simplePos x="0" y="0"/>
          <wp:positionH relativeFrom="margin">
            <wp:posOffset>4937760</wp:posOffset>
          </wp:positionH>
          <wp:positionV relativeFrom="paragraph">
            <wp:posOffset>113030</wp:posOffset>
          </wp:positionV>
          <wp:extent cx="1322705" cy="426720"/>
          <wp:effectExtent l="0" t="0" r="0" b="0"/>
          <wp:wrapSquare wrapText="bothSides"/>
          <wp:docPr id="28384390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426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ata" w:eastAsia="Times New Roman" w:hAnsi="Alata" w:cs="Times New Roman"/>
        <w:noProof/>
        <w:color w:val="30393F"/>
      </w:rPr>
      <w:drawing>
        <wp:anchor distT="0" distB="0" distL="114300" distR="114300" simplePos="0" relativeHeight="251658240" behindDoc="0" locked="0" layoutInCell="1" allowOverlap="1" wp14:anchorId="19A3A8E6" wp14:editId="24D2BFD4">
          <wp:simplePos x="0" y="0"/>
          <wp:positionH relativeFrom="margin">
            <wp:posOffset>-186690</wp:posOffset>
          </wp:positionH>
          <wp:positionV relativeFrom="paragraph">
            <wp:posOffset>110490</wp:posOffset>
          </wp:positionV>
          <wp:extent cx="1638300" cy="339725"/>
          <wp:effectExtent l="0" t="0" r="0" b="3175"/>
          <wp:wrapSquare wrapText="bothSides"/>
          <wp:docPr id="16682902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8300" cy="339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BAF1D" w14:textId="7A12AEE6" w:rsidR="00CE1571" w:rsidRDefault="00CE1571" w:rsidP="00C8082F">
    <w:pPr>
      <w:pStyle w:val="HeaderFooter"/>
      <w:jc w:val="center"/>
    </w:pPr>
  </w:p>
  <w:p w14:paraId="45EFBF97" w14:textId="579FEA71" w:rsidR="0070408F" w:rsidRPr="009367F5" w:rsidRDefault="00C8082F" w:rsidP="00A755CE">
    <w:pPr>
      <w:pStyle w:val="HeaderFooter"/>
      <w:jc w:val="center"/>
      <w:rPr>
        <w:rFonts w:ascii="Microsoft PhagsPa" w:hAnsi="Microsoft PhagsPa"/>
      </w:rPr>
    </w:pPr>
    <w:r w:rsidRPr="009367F5">
      <w:rPr>
        <w:rFonts w:ascii="Microsoft PhagsPa" w:hAnsi="Microsoft PhagsPa"/>
      </w:rPr>
      <w:t>COMUNICADO DE PRENSA</w:t>
    </w:r>
  </w:p>
  <w:p w14:paraId="363DCF27" w14:textId="0B7E99D0" w:rsidR="00C8082F" w:rsidRDefault="00C8082F" w:rsidP="00C8082F">
    <w:pPr>
      <w:pStyle w:val="HeaderFoot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17D4F39"/>
    <w:multiLevelType w:val="multilevel"/>
    <w:tmpl w:val="E78A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C25AF"/>
    <w:multiLevelType w:val="multilevel"/>
    <w:tmpl w:val="B9D4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F4AF4"/>
    <w:multiLevelType w:val="multilevel"/>
    <w:tmpl w:val="8BC21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76DB3"/>
    <w:multiLevelType w:val="multilevel"/>
    <w:tmpl w:val="5B543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C570C2"/>
    <w:multiLevelType w:val="multilevel"/>
    <w:tmpl w:val="47F4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F66B6B"/>
    <w:multiLevelType w:val="multilevel"/>
    <w:tmpl w:val="8694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F7307F"/>
    <w:multiLevelType w:val="hybridMultilevel"/>
    <w:tmpl w:val="63D8C238"/>
    <w:lvl w:ilvl="0" w:tplc="83CA7E22">
      <w:numFmt w:val="bullet"/>
      <w:lvlText w:val=""/>
      <w:lvlJc w:val="left"/>
      <w:pPr>
        <w:ind w:left="720" w:hanging="360"/>
      </w:pPr>
      <w:rPr>
        <w:rFonts w:ascii="Symbol" w:eastAsiaTheme="minorHAns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D45B82"/>
    <w:multiLevelType w:val="multilevel"/>
    <w:tmpl w:val="A130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F4601D"/>
    <w:multiLevelType w:val="multilevel"/>
    <w:tmpl w:val="FFE0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70A50"/>
    <w:multiLevelType w:val="multilevel"/>
    <w:tmpl w:val="87B8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430DC9"/>
    <w:multiLevelType w:val="multilevel"/>
    <w:tmpl w:val="264A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496B7E"/>
    <w:multiLevelType w:val="multilevel"/>
    <w:tmpl w:val="3F0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27E8F"/>
    <w:multiLevelType w:val="multilevel"/>
    <w:tmpl w:val="2EDC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D84BD6"/>
    <w:multiLevelType w:val="hybridMultilevel"/>
    <w:tmpl w:val="07F818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21B1350"/>
    <w:multiLevelType w:val="multilevel"/>
    <w:tmpl w:val="2350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5D0558"/>
    <w:multiLevelType w:val="multilevel"/>
    <w:tmpl w:val="3BE2D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7639AB"/>
    <w:multiLevelType w:val="multilevel"/>
    <w:tmpl w:val="46849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2F5919"/>
    <w:multiLevelType w:val="multilevel"/>
    <w:tmpl w:val="A038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ADCABA"/>
    <w:multiLevelType w:val="multilevel"/>
    <w:tmpl w:val="59ADCABA"/>
    <w:lvl w:ilvl="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lvlText w:val="◦"/>
      <w:lvlJc w:val="left"/>
      <w:pPr>
        <w:tabs>
          <w:tab w:val="left" w:pos="72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tabs>
          <w:tab w:val="left" w:pos="720"/>
        </w:tabs>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lvlText w:val="▪"/>
      <w:lvlJc w:val="left"/>
      <w:pPr>
        <w:tabs>
          <w:tab w:val="left" w:pos="72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lvlText w:val="◦"/>
      <w:lvlJc w:val="left"/>
      <w:pPr>
        <w:tabs>
          <w:tab w:val="left" w:pos="72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AF81924"/>
    <w:multiLevelType w:val="multilevel"/>
    <w:tmpl w:val="5888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731B9"/>
    <w:multiLevelType w:val="multilevel"/>
    <w:tmpl w:val="826C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1F3FA1"/>
    <w:multiLevelType w:val="multilevel"/>
    <w:tmpl w:val="7F10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90631"/>
    <w:multiLevelType w:val="multilevel"/>
    <w:tmpl w:val="46CA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7D677C"/>
    <w:multiLevelType w:val="multilevel"/>
    <w:tmpl w:val="9706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0F07CB"/>
    <w:multiLevelType w:val="multilevel"/>
    <w:tmpl w:val="2ED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5941F4"/>
    <w:multiLevelType w:val="multilevel"/>
    <w:tmpl w:val="D3D6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CC3099"/>
    <w:multiLevelType w:val="multilevel"/>
    <w:tmpl w:val="2B88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44B9A"/>
    <w:multiLevelType w:val="multilevel"/>
    <w:tmpl w:val="28B2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0176956">
    <w:abstractNumId w:val="18"/>
  </w:num>
  <w:num w:numId="2" w16cid:durableId="2099253173">
    <w:abstractNumId w:val="13"/>
  </w:num>
  <w:num w:numId="3" w16cid:durableId="2012634092">
    <w:abstractNumId w:val="6"/>
  </w:num>
  <w:num w:numId="4" w16cid:durableId="312761919">
    <w:abstractNumId w:val="9"/>
  </w:num>
  <w:num w:numId="5" w16cid:durableId="1931159232">
    <w:abstractNumId w:val="7"/>
  </w:num>
  <w:num w:numId="6" w16cid:durableId="1470708962">
    <w:abstractNumId w:val="15"/>
  </w:num>
  <w:num w:numId="7" w16cid:durableId="834028719">
    <w:abstractNumId w:val="10"/>
  </w:num>
  <w:num w:numId="8" w16cid:durableId="952785931">
    <w:abstractNumId w:val="2"/>
  </w:num>
  <w:num w:numId="9" w16cid:durableId="2118132279">
    <w:abstractNumId w:val="23"/>
  </w:num>
  <w:num w:numId="10" w16cid:durableId="1638340332">
    <w:abstractNumId w:val="19"/>
  </w:num>
  <w:num w:numId="11" w16cid:durableId="740833486">
    <w:abstractNumId w:val="11"/>
  </w:num>
  <w:num w:numId="12" w16cid:durableId="792482695">
    <w:abstractNumId w:val="27"/>
  </w:num>
  <w:num w:numId="13" w16cid:durableId="137308879">
    <w:abstractNumId w:val="5"/>
  </w:num>
  <w:num w:numId="14" w16cid:durableId="329798773">
    <w:abstractNumId w:val="0"/>
  </w:num>
  <w:num w:numId="15" w16cid:durableId="1225944059">
    <w:abstractNumId w:val="16"/>
  </w:num>
  <w:num w:numId="16" w16cid:durableId="1119834689">
    <w:abstractNumId w:val="8"/>
  </w:num>
  <w:num w:numId="17" w16cid:durableId="179317023">
    <w:abstractNumId w:val="20"/>
  </w:num>
  <w:num w:numId="18" w16cid:durableId="2139755508">
    <w:abstractNumId w:val="25"/>
  </w:num>
  <w:num w:numId="19" w16cid:durableId="275215258">
    <w:abstractNumId w:val="17"/>
  </w:num>
  <w:num w:numId="20" w16cid:durableId="1316716094">
    <w:abstractNumId w:val="3"/>
  </w:num>
  <w:num w:numId="21" w16cid:durableId="803817160">
    <w:abstractNumId w:val="26"/>
  </w:num>
  <w:num w:numId="22" w16cid:durableId="743378125">
    <w:abstractNumId w:val="22"/>
  </w:num>
  <w:num w:numId="23" w16cid:durableId="387386799">
    <w:abstractNumId w:val="12"/>
  </w:num>
  <w:num w:numId="24" w16cid:durableId="1776944068">
    <w:abstractNumId w:val="14"/>
  </w:num>
  <w:num w:numId="25" w16cid:durableId="1574271873">
    <w:abstractNumId w:val="4"/>
  </w:num>
  <w:num w:numId="26" w16cid:durableId="1770198130">
    <w:abstractNumId w:val="21"/>
  </w:num>
  <w:num w:numId="27" w16cid:durableId="1430354241">
    <w:abstractNumId w:val="24"/>
  </w:num>
  <w:num w:numId="28" w16cid:durableId="328027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autoHyphenation/>
  <w:hyphenationZone w:val="425"/>
  <w:characterSpacingControl w:val="doNotCompress"/>
  <w:noLineBreaksAfter w:lang="zh-CN" w:val="‘“(〔[{〈《「『【⦅〘〖«〝︵︷︹︻︽︿﹁﹃﹇﹙﹛﹝｢"/>
  <w:noLineBreaksBefore w:lang="zh-CN" w:va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RhZDU3NzU0ZTFiNzFkMWYzMGU5OTNlMjk4M2JhMmQifQ=="/>
  </w:docVars>
  <w:rsids>
    <w:rsidRoot w:val="00A13E4E"/>
    <w:rsid w:val="000048E7"/>
    <w:rsid w:val="00015039"/>
    <w:rsid w:val="0002169E"/>
    <w:rsid w:val="000242CD"/>
    <w:rsid w:val="0002548D"/>
    <w:rsid w:val="00025633"/>
    <w:rsid w:val="00042469"/>
    <w:rsid w:val="00055A24"/>
    <w:rsid w:val="00072016"/>
    <w:rsid w:val="00075A04"/>
    <w:rsid w:val="00086A7B"/>
    <w:rsid w:val="00092571"/>
    <w:rsid w:val="00094CE5"/>
    <w:rsid w:val="000C365A"/>
    <w:rsid w:val="000C3A55"/>
    <w:rsid w:val="000D7B6F"/>
    <w:rsid w:val="000F45C8"/>
    <w:rsid w:val="00100AEC"/>
    <w:rsid w:val="001015FA"/>
    <w:rsid w:val="00106989"/>
    <w:rsid w:val="00107A0F"/>
    <w:rsid w:val="0011720A"/>
    <w:rsid w:val="001177AF"/>
    <w:rsid w:val="00123E23"/>
    <w:rsid w:val="00130801"/>
    <w:rsid w:val="00133CFF"/>
    <w:rsid w:val="0013606C"/>
    <w:rsid w:val="00140829"/>
    <w:rsid w:val="00152487"/>
    <w:rsid w:val="001651E6"/>
    <w:rsid w:val="001708E3"/>
    <w:rsid w:val="0017457D"/>
    <w:rsid w:val="00184E25"/>
    <w:rsid w:val="00186861"/>
    <w:rsid w:val="00193914"/>
    <w:rsid w:val="00197CEB"/>
    <w:rsid w:val="001A0D6F"/>
    <w:rsid w:val="001B3565"/>
    <w:rsid w:val="001D1364"/>
    <w:rsid w:val="001F15AA"/>
    <w:rsid w:val="001F4114"/>
    <w:rsid w:val="001F7EE5"/>
    <w:rsid w:val="00210D91"/>
    <w:rsid w:val="00216448"/>
    <w:rsid w:val="00224AFF"/>
    <w:rsid w:val="00232BCE"/>
    <w:rsid w:val="00232F48"/>
    <w:rsid w:val="0025126F"/>
    <w:rsid w:val="002530AF"/>
    <w:rsid w:val="002B6B12"/>
    <w:rsid w:val="002C35D0"/>
    <w:rsid w:val="003019CC"/>
    <w:rsid w:val="00302690"/>
    <w:rsid w:val="00307992"/>
    <w:rsid w:val="00314902"/>
    <w:rsid w:val="00322093"/>
    <w:rsid w:val="00326A16"/>
    <w:rsid w:val="00327745"/>
    <w:rsid w:val="00346DD2"/>
    <w:rsid w:val="00347253"/>
    <w:rsid w:val="00351C8C"/>
    <w:rsid w:val="00373D03"/>
    <w:rsid w:val="0038021E"/>
    <w:rsid w:val="003823AE"/>
    <w:rsid w:val="00392257"/>
    <w:rsid w:val="0039357A"/>
    <w:rsid w:val="003A2F44"/>
    <w:rsid w:val="003B5C82"/>
    <w:rsid w:val="003B67EB"/>
    <w:rsid w:val="003C48A6"/>
    <w:rsid w:val="003D6795"/>
    <w:rsid w:val="00402869"/>
    <w:rsid w:val="00406B92"/>
    <w:rsid w:val="004137ED"/>
    <w:rsid w:val="0041488B"/>
    <w:rsid w:val="00417495"/>
    <w:rsid w:val="004407CC"/>
    <w:rsid w:val="0044491C"/>
    <w:rsid w:val="00451D6A"/>
    <w:rsid w:val="00456676"/>
    <w:rsid w:val="0046619D"/>
    <w:rsid w:val="0047308A"/>
    <w:rsid w:val="0047309D"/>
    <w:rsid w:val="0047654B"/>
    <w:rsid w:val="00481394"/>
    <w:rsid w:val="00482E14"/>
    <w:rsid w:val="00483DF5"/>
    <w:rsid w:val="004863D3"/>
    <w:rsid w:val="0048730C"/>
    <w:rsid w:val="00490947"/>
    <w:rsid w:val="00496795"/>
    <w:rsid w:val="004B41DB"/>
    <w:rsid w:val="004C1C5E"/>
    <w:rsid w:val="004D1F3E"/>
    <w:rsid w:val="004D686C"/>
    <w:rsid w:val="004E375C"/>
    <w:rsid w:val="004E6CD2"/>
    <w:rsid w:val="004E746E"/>
    <w:rsid w:val="004F1F75"/>
    <w:rsid w:val="004F572E"/>
    <w:rsid w:val="005008EF"/>
    <w:rsid w:val="005028A1"/>
    <w:rsid w:val="00504D9D"/>
    <w:rsid w:val="00512F33"/>
    <w:rsid w:val="005279BF"/>
    <w:rsid w:val="00537B54"/>
    <w:rsid w:val="0055234A"/>
    <w:rsid w:val="0056032C"/>
    <w:rsid w:val="005612CB"/>
    <w:rsid w:val="005624FE"/>
    <w:rsid w:val="00563933"/>
    <w:rsid w:val="00580FCD"/>
    <w:rsid w:val="00582812"/>
    <w:rsid w:val="00594920"/>
    <w:rsid w:val="00597DEC"/>
    <w:rsid w:val="005A4EB9"/>
    <w:rsid w:val="005B44A1"/>
    <w:rsid w:val="005B51DC"/>
    <w:rsid w:val="005C4971"/>
    <w:rsid w:val="006104C4"/>
    <w:rsid w:val="0061226C"/>
    <w:rsid w:val="00614055"/>
    <w:rsid w:val="00616CE9"/>
    <w:rsid w:val="00626124"/>
    <w:rsid w:val="006369EC"/>
    <w:rsid w:val="00655B40"/>
    <w:rsid w:val="00660EA6"/>
    <w:rsid w:val="006631C3"/>
    <w:rsid w:val="00663B53"/>
    <w:rsid w:val="006875DE"/>
    <w:rsid w:val="006B4889"/>
    <w:rsid w:val="006C74AC"/>
    <w:rsid w:val="006D0F17"/>
    <w:rsid w:val="00701F19"/>
    <w:rsid w:val="0070408F"/>
    <w:rsid w:val="00706B22"/>
    <w:rsid w:val="0071356C"/>
    <w:rsid w:val="00716C83"/>
    <w:rsid w:val="0072471E"/>
    <w:rsid w:val="00725E89"/>
    <w:rsid w:val="00734D38"/>
    <w:rsid w:val="0074645B"/>
    <w:rsid w:val="00761B0E"/>
    <w:rsid w:val="00777EA8"/>
    <w:rsid w:val="007865D7"/>
    <w:rsid w:val="007914CC"/>
    <w:rsid w:val="007A1166"/>
    <w:rsid w:val="007B759F"/>
    <w:rsid w:val="007C09DB"/>
    <w:rsid w:val="007C7E3B"/>
    <w:rsid w:val="007D0808"/>
    <w:rsid w:val="007D531E"/>
    <w:rsid w:val="007D5AAF"/>
    <w:rsid w:val="007F5C0D"/>
    <w:rsid w:val="008200AF"/>
    <w:rsid w:val="00840C93"/>
    <w:rsid w:val="00847FDC"/>
    <w:rsid w:val="00852E5C"/>
    <w:rsid w:val="00853B0F"/>
    <w:rsid w:val="00862041"/>
    <w:rsid w:val="00876648"/>
    <w:rsid w:val="00890E31"/>
    <w:rsid w:val="008A7656"/>
    <w:rsid w:val="008B2563"/>
    <w:rsid w:val="008B6A65"/>
    <w:rsid w:val="008C1752"/>
    <w:rsid w:val="008C3090"/>
    <w:rsid w:val="008C6B19"/>
    <w:rsid w:val="008D5FA2"/>
    <w:rsid w:val="00901CBC"/>
    <w:rsid w:val="00903A19"/>
    <w:rsid w:val="00921399"/>
    <w:rsid w:val="009316FA"/>
    <w:rsid w:val="00934E92"/>
    <w:rsid w:val="009367F5"/>
    <w:rsid w:val="00943DD6"/>
    <w:rsid w:val="00962E68"/>
    <w:rsid w:val="009654A5"/>
    <w:rsid w:val="009846E2"/>
    <w:rsid w:val="00987B4F"/>
    <w:rsid w:val="009965BD"/>
    <w:rsid w:val="009A09CA"/>
    <w:rsid w:val="009A6ED6"/>
    <w:rsid w:val="009C1297"/>
    <w:rsid w:val="009F6FAB"/>
    <w:rsid w:val="00A13E4E"/>
    <w:rsid w:val="00A20BB9"/>
    <w:rsid w:val="00A23FCF"/>
    <w:rsid w:val="00A34580"/>
    <w:rsid w:val="00A438FD"/>
    <w:rsid w:val="00A51913"/>
    <w:rsid w:val="00A5663F"/>
    <w:rsid w:val="00A600EF"/>
    <w:rsid w:val="00A755CE"/>
    <w:rsid w:val="00A822DE"/>
    <w:rsid w:val="00A865D1"/>
    <w:rsid w:val="00A93692"/>
    <w:rsid w:val="00A95537"/>
    <w:rsid w:val="00AA17AA"/>
    <w:rsid w:val="00AB1EF8"/>
    <w:rsid w:val="00AB467E"/>
    <w:rsid w:val="00AB60C4"/>
    <w:rsid w:val="00AD64EF"/>
    <w:rsid w:val="00AE41D5"/>
    <w:rsid w:val="00B018EF"/>
    <w:rsid w:val="00B229DE"/>
    <w:rsid w:val="00B241FB"/>
    <w:rsid w:val="00B30BD4"/>
    <w:rsid w:val="00B316AB"/>
    <w:rsid w:val="00B31D12"/>
    <w:rsid w:val="00B362E5"/>
    <w:rsid w:val="00B36DA3"/>
    <w:rsid w:val="00B46AB8"/>
    <w:rsid w:val="00B47F3E"/>
    <w:rsid w:val="00B659B0"/>
    <w:rsid w:val="00B661E3"/>
    <w:rsid w:val="00B73DB2"/>
    <w:rsid w:val="00B746DA"/>
    <w:rsid w:val="00B9185A"/>
    <w:rsid w:val="00B93C63"/>
    <w:rsid w:val="00B93DAD"/>
    <w:rsid w:val="00BC5DCB"/>
    <w:rsid w:val="00BC72FD"/>
    <w:rsid w:val="00BD4179"/>
    <w:rsid w:val="00BD6049"/>
    <w:rsid w:val="00BD79B6"/>
    <w:rsid w:val="00BE1437"/>
    <w:rsid w:val="00BE4099"/>
    <w:rsid w:val="00BE5FC6"/>
    <w:rsid w:val="00BE764F"/>
    <w:rsid w:val="00BF0598"/>
    <w:rsid w:val="00C01779"/>
    <w:rsid w:val="00C13F34"/>
    <w:rsid w:val="00C1479A"/>
    <w:rsid w:val="00C14C72"/>
    <w:rsid w:val="00C17294"/>
    <w:rsid w:val="00C305BD"/>
    <w:rsid w:val="00C404A9"/>
    <w:rsid w:val="00C43A5C"/>
    <w:rsid w:val="00C44CB2"/>
    <w:rsid w:val="00C66674"/>
    <w:rsid w:val="00C7010F"/>
    <w:rsid w:val="00C75049"/>
    <w:rsid w:val="00C8082F"/>
    <w:rsid w:val="00C811BC"/>
    <w:rsid w:val="00C82990"/>
    <w:rsid w:val="00C850B9"/>
    <w:rsid w:val="00C90B67"/>
    <w:rsid w:val="00C949D2"/>
    <w:rsid w:val="00C94D6A"/>
    <w:rsid w:val="00CA3E77"/>
    <w:rsid w:val="00CB4AC9"/>
    <w:rsid w:val="00CB4C3E"/>
    <w:rsid w:val="00CC614C"/>
    <w:rsid w:val="00CC6449"/>
    <w:rsid w:val="00CE1571"/>
    <w:rsid w:val="00CE1B0B"/>
    <w:rsid w:val="00CE2486"/>
    <w:rsid w:val="00CF517C"/>
    <w:rsid w:val="00D000B4"/>
    <w:rsid w:val="00D11AE5"/>
    <w:rsid w:val="00D22633"/>
    <w:rsid w:val="00D26BDD"/>
    <w:rsid w:val="00D31E79"/>
    <w:rsid w:val="00D369B1"/>
    <w:rsid w:val="00D453DF"/>
    <w:rsid w:val="00D80569"/>
    <w:rsid w:val="00D814A3"/>
    <w:rsid w:val="00D90EDD"/>
    <w:rsid w:val="00DA34C7"/>
    <w:rsid w:val="00DB6680"/>
    <w:rsid w:val="00DB71B5"/>
    <w:rsid w:val="00DE0C14"/>
    <w:rsid w:val="00DE4BB8"/>
    <w:rsid w:val="00DE59A4"/>
    <w:rsid w:val="00DE7FDB"/>
    <w:rsid w:val="00E055E7"/>
    <w:rsid w:val="00E10C57"/>
    <w:rsid w:val="00E27029"/>
    <w:rsid w:val="00E315B3"/>
    <w:rsid w:val="00E352E2"/>
    <w:rsid w:val="00E709FE"/>
    <w:rsid w:val="00E73FED"/>
    <w:rsid w:val="00E85387"/>
    <w:rsid w:val="00E94AFE"/>
    <w:rsid w:val="00E95D45"/>
    <w:rsid w:val="00EA02EA"/>
    <w:rsid w:val="00EA44FF"/>
    <w:rsid w:val="00EB0603"/>
    <w:rsid w:val="00EB7646"/>
    <w:rsid w:val="00EC0A72"/>
    <w:rsid w:val="00ED46F2"/>
    <w:rsid w:val="00EF7704"/>
    <w:rsid w:val="00F04941"/>
    <w:rsid w:val="00F13EDE"/>
    <w:rsid w:val="00F37D23"/>
    <w:rsid w:val="00F42128"/>
    <w:rsid w:val="00F57C85"/>
    <w:rsid w:val="00F676EA"/>
    <w:rsid w:val="00F76A45"/>
    <w:rsid w:val="00F86394"/>
    <w:rsid w:val="00FA354D"/>
    <w:rsid w:val="00FA41FE"/>
    <w:rsid w:val="00FA5A84"/>
    <w:rsid w:val="00FA718D"/>
    <w:rsid w:val="00FD4980"/>
    <w:rsid w:val="00FF08D8"/>
    <w:rsid w:val="00FF1277"/>
    <w:rsid w:val="105B264A"/>
    <w:rsid w:val="21CB06EF"/>
    <w:rsid w:val="280D33D0"/>
    <w:rsid w:val="2EFF2634"/>
    <w:rsid w:val="5B916E34"/>
    <w:rsid w:val="5F830468"/>
    <w:rsid w:val="5FD5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FBF63"/>
  <w15:docId w15:val="{9E0ABAD2-406F-4617-95C1-B7EA01A1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s-ES" w:eastAsia="es-E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uppressAutoHyphens/>
    </w:pPr>
    <w:rPr>
      <w:rFonts w:cs="Arial Unicode MS"/>
      <w:color w:val="000000"/>
      <w:kern w:val="2"/>
      <w:sz w:val="24"/>
      <w:szCs w:val="24"/>
      <w:u w:color="000000"/>
      <w:lang w:val="en-US" w:eastAsia="zh-CN"/>
    </w:rPr>
  </w:style>
  <w:style w:type="paragraph" w:styleId="Ttulo1">
    <w:name w:val="heading 1"/>
    <w:basedOn w:val="Normal"/>
    <w:next w:val="Normal"/>
    <w:link w:val="Ttulo1Car"/>
    <w:qFormat/>
    <w:rsid w:val="00B362E5"/>
    <w:pPr>
      <w:keepNext/>
      <w:keepLines/>
      <w:spacing w:before="240"/>
      <w:outlineLvl w:val="0"/>
    </w:pPr>
    <w:rPr>
      <w:rFonts w:asciiTheme="majorHAnsi" w:eastAsiaTheme="majorEastAsia" w:hAnsiTheme="majorHAnsi" w:cstheme="majorBidi"/>
      <w:color w:val="117A02" w:themeColor="accent1" w:themeShade="BF"/>
      <w:sz w:val="32"/>
      <w:szCs w:val="32"/>
    </w:rPr>
  </w:style>
  <w:style w:type="paragraph" w:styleId="Ttulo2">
    <w:name w:val="heading 2"/>
    <w:basedOn w:val="Normal"/>
    <w:next w:val="Normal"/>
    <w:link w:val="Ttulo2Car"/>
    <w:semiHidden/>
    <w:unhideWhenUsed/>
    <w:qFormat/>
    <w:rsid w:val="00504D9D"/>
    <w:pPr>
      <w:keepNext/>
      <w:keepLines/>
      <w:spacing w:before="40"/>
      <w:outlineLvl w:val="1"/>
    </w:pPr>
    <w:rPr>
      <w:rFonts w:asciiTheme="majorHAnsi" w:eastAsiaTheme="majorEastAsia" w:hAnsiTheme="majorHAnsi" w:cstheme="majorBidi"/>
      <w:color w:val="117A02" w:themeColor="accent1" w:themeShade="BF"/>
      <w:sz w:val="26"/>
      <w:szCs w:val="26"/>
    </w:rPr>
  </w:style>
  <w:style w:type="paragraph" w:styleId="Ttulo3">
    <w:name w:val="heading 3"/>
    <w:next w:val="Textoindependiente"/>
    <w:qFormat/>
    <w:pPr>
      <w:keepNext/>
      <w:suppressAutoHyphens/>
      <w:spacing w:before="140" w:after="120"/>
      <w:outlineLvl w:val="2"/>
    </w:pPr>
    <w:rPr>
      <w:rFonts w:cs="Arial Unicode MS"/>
      <w:b/>
      <w:bCs/>
      <w:color w:val="000000"/>
      <w:kern w:val="2"/>
      <w:sz w:val="28"/>
      <w:szCs w:val="28"/>
      <w:u w:color="000000"/>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qFormat/>
    <w:pPr>
      <w:suppressAutoHyphens/>
      <w:spacing w:after="140" w:line="276" w:lineRule="auto"/>
    </w:pPr>
    <w:rPr>
      <w:rFonts w:cs="Arial Unicode MS"/>
      <w:color w:val="000000"/>
      <w:kern w:val="2"/>
      <w:sz w:val="24"/>
      <w:szCs w:val="24"/>
      <w:u w:color="000000"/>
      <w:lang w:val="en-US" w:eastAsia="zh-CN"/>
    </w:rPr>
  </w:style>
  <w:style w:type="paragraph" w:styleId="Textocomentario">
    <w:name w:val="annotation text"/>
    <w:basedOn w:val="Normal"/>
    <w:link w:val="TextocomentarioCar"/>
    <w:qFormat/>
  </w:style>
  <w:style w:type="paragraph" w:styleId="Asuntodelcomentario">
    <w:name w:val="annotation subject"/>
    <w:basedOn w:val="Textocomentario"/>
    <w:next w:val="Textocomentario"/>
    <w:link w:val="AsuntodelcomentarioCar"/>
    <w:rPr>
      <w:b/>
      <w:bCs/>
      <w:sz w:val="20"/>
      <w:szCs w:val="20"/>
    </w:rPr>
  </w:style>
  <w:style w:type="character" w:styleId="Hipervnculo">
    <w:name w:val="Hyperlink"/>
    <w:qFormat/>
    <w:rPr>
      <w:u w:val="single"/>
    </w:rPr>
  </w:style>
  <w:style w:type="character" w:styleId="Refdecomentario">
    <w:name w:val="annotation reference"/>
    <w:basedOn w:val="Fuentedeprrafopredeter"/>
    <w:rPr>
      <w:sz w:val="16"/>
      <w:szCs w:val="16"/>
    </w:rPr>
  </w:style>
  <w:style w:type="table" w:customStyle="1" w:styleId="TableNormal">
    <w:name w:val="Table Normal"/>
    <w:qFormat/>
    <w:tblPr>
      <w:tblCellMar>
        <w:top w:w="0" w:type="dxa"/>
        <w:left w:w="0" w:type="dxa"/>
        <w:bottom w:w="0" w:type="dxa"/>
        <w:right w:w="0" w:type="dxa"/>
      </w:tblCellMar>
    </w:tblPr>
  </w:style>
  <w:style w:type="paragraph" w:customStyle="1" w:styleId="HeaderFooter">
    <w:name w:val="Header &amp; Footer"/>
    <w:qFormat/>
    <w:pPr>
      <w:tabs>
        <w:tab w:val="right" w:pos="9020"/>
      </w:tabs>
    </w:pPr>
    <w:rPr>
      <w:rFonts w:ascii="Helvetica Neue" w:hAnsi="Helvetica Neue" w:cs="Arial Unicode MS"/>
      <w:color w:val="000000"/>
      <w:sz w:val="24"/>
      <w:szCs w:val="24"/>
      <w:lang w:val="en-GB" w:eastAsia="zh-CN"/>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lang w:val="en-GB" w:eastAsia="zh-CN"/>
    </w:rPr>
  </w:style>
  <w:style w:type="paragraph" w:customStyle="1" w:styleId="Revisin1">
    <w:name w:val="Revisión1"/>
    <w:hidden/>
    <w:uiPriority w:val="99"/>
    <w:unhideWhenUsed/>
    <w:rPr>
      <w:rFonts w:cs="Arial Unicode MS"/>
      <w:color w:val="000000"/>
      <w:kern w:val="2"/>
      <w:sz w:val="24"/>
      <w:szCs w:val="24"/>
      <w:u w:color="000000"/>
      <w:lang w:val="en-US" w:eastAsia="zh-CN"/>
    </w:rPr>
  </w:style>
  <w:style w:type="character" w:customStyle="1" w:styleId="TextocomentarioCar">
    <w:name w:val="Texto comentario Car"/>
    <w:basedOn w:val="Fuentedeprrafopredeter"/>
    <w:link w:val="Textocomentario"/>
    <w:rPr>
      <w:rFonts w:cs="Arial Unicode MS"/>
      <w:color w:val="000000"/>
      <w:kern w:val="2"/>
      <w:sz w:val="24"/>
      <w:szCs w:val="24"/>
      <w:u w:color="000000"/>
      <w:lang w:val="en-US"/>
    </w:rPr>
  </w:style>
  <w:style w:type="character" w:customStyle="1" w:styleId="AsuntodelcomentarioCar">
    <w:name w:val="Asunto del comentario Car"/>
    <w:basedOn w:val="TextocomentarioCar"/>
    <w:link w:val="Asuntodelcomentario"/>
    <w:rPr>
      <w:rFonts w:cs="Arial Unicode MS"/>
      <w:b/>
      <w:bCs/>
      <w:color w:val="000000"/>
      <w:kern w:val="2"/>
      <w:sz w:val="24"/>
      <w:szCs w:val="24"/>
      <w:u w:color="000000"/>
      <w:lang w:val="en-US"/>
    </w:rPr>
  </w:style>
  <w:style w:type="paragraph" w:styleId="Encabezado">
    <w:name w:val="header"/>
    <w:basedOn w:val="Normal"/>
    <w:link w:val="EncabezadoCar"/>
    <w:rsid w:val="00A34580"/>
    <w:pPr>
      <w:tabs>
        <w:tab w:val="center" w:pos="4252"/>
        <w:tab w:val="right" w:pos="8504"/>
      </w:tabs>
    </w:pPr>
  </w:style>
  <w:style w:type="character" w:customStyle="1" w:styleId="EncabezadoCar">
    <w:name w:val="Encabezado Car"/>
    <w:basedOn w:val="Fuentedeprrafopredeter"/>
    <w:link w:val="Encabezado"/>
    <w:rsid w:val="00A34580"/>
    <w:rPr>
      <w:rFonts w:cs="Arial Unicode MS"/>
      <w:color w:val="000000"/>
      <w:kern w:val="2"/>
      <w:sz w:val="24"/>
      <w:szCs w:val="24"/>
      <w:u w:color="000000"/>
      <w:lang w:val="en-US" w:eastAsia="zh-CN"/>
    </w:rPr>
  </w:style>
  <w:style w:type="paragraph" w:styleId="Piedepgina">
    <w:name w:val="footer"/>
    <w:basedOn w:val="Normal"/>
    <w:link w:val="PiedepginaCar"/>
    <w:rsid w:val="00A34580"/>
    <w:pPr>
      <w:tabs>
        <w:tab w:val="center" w:pos="4252"/>
        <w:tab w:val="right" w:pos="8504"/>
      </w:tabs>
    </w:pPr>
  </w:style>
  <w:style w:type="character" w:customStyle="1" w:styleId="PiedepginaCar">
    <w:name w:val="Pie de página Car"/>
    <w:basedOn w:val="Fuentedeprrafopredeter"/>
    <w:link w:val="Piedepgina"/>
    <w:rsid w:val="00A34580"/>
    <w:rPr>
      <w:rFonts w:cs="Arial Unicode MS"/>
      <w:color w:val="000000"/>
      <w:kern w:val="2"/>
      <w:sz w:val="24"/>
      <w:szCs w:val="24"/>
      <w:u w:color="000000"/>
      <w:lang w:val="en-US" w:eastAsia="zh-CN"/>
    </w:rPr>
  </w:style>
  <w:style w:type="paragraph" w:styleId="Prrafodelista">
    <w:name w:val="List Paragraph"/>
    <w:basedOn w:val="Normal"/>
    <w:uiPriority w:val="99"/>
    <w:unhideWhenUsed/>
    <w:rsid w:val="008C6B19"/>
    <w:pPr>
      <w:ind w:left="720"/>
      <w:contextualSpacing/>
    </w:pPr>
  </w:style>
  <w:style w:type="character" w:styleId="Mencinsinresolver">
    <w:name w:val="Unresolved Mention"/>
    <w:basedOn w:val="Fuentedeprrafopredeter"/>
    <w:uiPriority w:val="99"/>
    <w:semiHidden/>
    <w:unhideWhenUsed/>
    <w:rsid w:val="003C48A6"/>
    <w:rPr>
      <w:color w:val="605E5C"/>
      <w:shd w:val="clear" w:color="auto" w:fill="E1DFDD"/>
    </w:rPr>
  </w:style>
  <w:style w:type="character" w:styleId="Hipervnculovisitado">
    <w:name w:val="FollowedHyperlink"/>
    <w:basedOn w:val="Fuentedeprrafopredeter"/>
    <w:rsid w:val="003C48A6"/>
    <w:rPr>
      <w:color w:val="FF00FF" w:themeColor="followedHyperlink"/>
      <w:u w:val="single"/>
    </w:rPr>
  </w:style>
  <w:style w:type="paragraph" w:styleId="NormalWeb">
    <w:name w:val="Normal (Web)"/>
    <w:basedOn w:val="Normal"/>
    <w:rsid w:val="00BE1437"/>
    <w:rPr>
      <w:rFonts w:cs="Times New Roman"/>
    </w:rPr>
  </w:style>
  <w:style w:type="character" w:customStyle="1" w:styleId="Ttulo2Car">
    <w:name w:val="Título 2 Car"/>
    <w:basedOn w:val="Fuentedeprrafopredeter"/>
    <w:link w:val="Ttulo2"/>
    <w:semiHidden/>
    <w:rsid w:val="00504D9D"/>
    <w:rPr>
      <w:rFonts w:asciiTheme="majorHAnsi" w:eastAsiaTheme="majorEastAsia" w:hAnsiTheme="majorHAnsi" w:cstheme="majorBidi"/>
      <w:color w:val="117A02" w:themeColor="accent1" w:themeShade="BF"/>
      <w:kern w:val="2"/>
      <w:sz w:val="26"/>
      <w:szCs w:val="26"/>
      <w:u w:color="000000"/>
      <w:lang w:val="en-US" w:eastAsia="zh-CN"/>
    </w:rPr>
  </w:style>
  <w:style w:type="character" w:customStyle="1" w:styleId="Ttulo1Car">
    <w:name w:val="Título 1 Car"/>
    <w:basedOn w:val="Fuentedeprrafopredeter"/>
    <w:link w:val="Ttulo1"/>
    <w:rsid w:val="00B362E5"/>
    <w:rPr>
      <w:rFonts w:asciiTheme="majorHAnsi" w:eastAsiaTheme="majorEastAsia" w:hAnsiTheme="majorHAnsi" w:cstheme="majorBidi"/>
      <w:color w:val="117A02" w:themeColor="accent1" w:themeShade="BF"/>
      <w:kern w:val="2"/>
      <w:sz w:val="32"/>
      <w:szCs w:val="32"/>
      <w:u w:color="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53948">
      <w:bodyDiv w:val="1"/>
      <w:marLeft w:val="0"/>
      <w:marRight w:val="0"/>
      <w:marTop w:val="0"/>
      <w:marBottom w:val="0"/>
      <w:divBdr>
        <w:top w:val="none" w:sz="0" w:space="0" w:color="auto"/>
        <w:left w:val="none" w:sz="0" w:space="0" w:color="auto"/>
        <w:bottom w:val="none" w:sz="0" w:space="0" w:color="auto"/>
        <w:right w:val="none" w:sz="0" w:space="0" w:color="auto"/>
      </w:divBdr>
    </w:div>
    <w:div w:id="136606603">
      <w:bodyDiv w:val="1"/>
      <w:marLeft w:val="0"/>
      <w:marRight w:val="0"/>
      <w:marTop w:val="0"/>
      <w:marBottom w:val="0"/>
      <w:divBdr>
        <w:top w:val="none" w:sz="0" w:space="0" w:color="auto"/>
        <w:left w:val="none" w:sz="0" w:space="0" w:color="auto"/>
        <w:bottom w:val="none" w:sz="0" w:space="0" w:color="auto"/>
        <w:right w:val="none" w:sz="0" w:space="0" w:color="auto"/>
      </w:divBdr>
    </w:div>
    <w:div w:id="193539886">
      <w:bodyDiv w:val="1"/>
      <w:marLeft w:val="0"/>
      <w:marRight w:val="0"/>
      <w:marTop w:val="0"/>
      <w:marBottom w:val="0"/>
      <w:divBdr>
        <w:top w:val="none" w:sz="0" w:space="0" w:color="auto"/>
        <w:left w:val="none" w:sz="0" w:space="0" w:color="auto"/>
        <w:bottom w:val="none" w:sz="0" w:space="0" w:color="auto"/>
        <w:right w:val="none" w:sz="0" w:space="0" w:color="auto"/>
      </w:divBdr>
    </w:div>
    <w:div w:id="257444854">
      <w:bodyDiv w:val="1"/>
      <w:marLeft w:val="0"/>
      <w:marRight w:val="0"/>
      <w:marTop w:val="0"/>
      <w:marBottom w:val="0"/>
      <w:divBdr>
        <w:top w:val="none" w:sz="0" w:space="0" w:color="auto"/>
        <w:left w:val="none" w:sz="0" w:space="0" w:color="auto"/>
        <w:bottom w:val="none" w:sz="0" w:space="0" w:color="auto"/>
        <w:right w:val="none" w:sz="0" w:space="0" w:color="auto"/>
      </w:divBdr>
    </w:div>
    <w:div w:id="318072033">
      <w:bodyDiv w:val="1"/>
      <w:marLeft w:val="0"/>
      <w:marRight w:val="0"/>
      <w:marTop w:val="0"/>
      <w:marBottom w:val="0"/>
      <w:divBdr>
        <w:top w:val="none" w:sz="0" w:space="0" w:color="auto"/>
        <w:left w:val="none" w:sz="0" w:space="0" w:color="auto"/>
        <w:bottom w:val="none" w:sz="0" w:space="0" w:color="auto"/>
        <w:right w:val="none" w:sz="0" w:space="0" w:color="auto"/>
      </w:divBdr>
    </w:div>
    <w:div w:id="326712200">
      <w:bodyDiv w:val="1"/>
      <w:marLeft w:val="0"/>
      <w:marRight w:val="0"/>
      <w:marTop w:val="0"/>
      <w:marBottom w:val="0"/>
      <w:divBdr>
        <w:top w:val="none" w:sz="0" w:space="0" w:color="auto"/>
        <w:left w:val="none" w:sz="0" w:space="0" w:color="auto"/>
        <w:bottom w:val="none" w:sz="0" w:space="0" w:color="auto"/>
        <w:right w:val="none" w:sz="0" w:space="0" w:color="auto"/>
      </w:divBdr>
      <w:divsChild>
        <w:div w:id="1754431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3236618">
      <w:bodyDiv w:val="1"/>
      <w:marLeft w:val="0"/>
      <w:marRight w:val="0"/>
      <w:marTop w:val="0"/>
      <w:marBottom w:val="0"/>
      <w:divBdr>
        <w:top w:val="none" w:sz="0" w:space="0" w:color="auto"/>
        <w:left w:val="none" w:sz="0" w:space="0" w:color="auto"/>
        <w:bottom w:val="none" w:sz="0" w:space="0" w:color="auto"/>
        <w:right w:val="none" w:sz="0" w:space="0" w:color="auto"/>
      </w:divBdr>
    </w:div>
    <w:div w:id="558713188">
      <w:bodyDiv w:val="1"/>
      <w:marLeft w:val="0"/>
      <w:marRight w:val="0"/>
      <w:marTop w:val="0"/>
      <w:marBottom w:val="0"/>
      <w:divBdr>
        <w:top w:val="none" w:sz="0" w:space="0" w:color="auto"/>
        <w:left w:val="none" w:sz="0" w:space="0" w:color="auto"/>
        <w:bottom w:val="none" w:sz="0" w:space="0" w:color="auto"/>
        <w:right w:val="none" w:sz="0" w:space="0" w:color="auto"/>
      </w:divBdr>
    </w:div>
    <w:div w:id="568656356">
      <w:bodyDiv w:val="1"/>
      <w:marLeft w:val="0"/>
      <w:marRight w:val="0"/>
      <w:marTop w:val="0"/>
      <w:marBottom w:val="0"/>
      <w:divBdr>
        <w:top w:val="none" w:sz="0" w:space="0" w:color="auto"/>
        <w:left w:val="none" w:sz="0" w:space="0" w:color="auto"/>
        <w:bottom w:val="none" w:sz="0" w:space="0" w:color="auto"/>
        <w:right w:val="none" w:sz="0" w:space="0" w:color="auto"/>
      </w:divBdr>
    </w:div>
    <w:div w:id="635263272">
      <w:bodyDiv w:val="1"/>
      <w:marLeft w:val="0"/>
      <w:marRight w:val="0"/>
      <w:marTop w:val="0"/>
      <w:marBottom w:val="0"/>
      <w:divBdr>
        <w:top w:val="none" w:sz="0" w:space="0" w:color="auto"/>
        <w:left w:val="none" w:sz="0" w:space="0" w:color="auto"/>
        <w:bottom w:val="none" w:sz="0" w:space="0" w:color="auto"/>
        <w:right w:val="none" w:sz="0" w:space="0" w:color="auto"/>
      </w:divBdr>
    </w:div>
    <w:div w:id="851342043">
      <w:bodyDiv w:val="1"/>
      <w:marLeft w:val="0"/>
      <w:marRight w:val="0"/>
      <w:marTop w:val="0"/>
      <w:marBottom w:val="0"/>
      <w:divBdr>
        <w:top w:val="none" w:sz="0" w:space="0" w:color="auto"/>
        <w:left w:val="none" w:sz="0" w:space="0" w:color="auto"/>
        <w:bottom w:val="none" w:sz="0" w:space="0" w:color="auto"/>
        <w:right w:val="none" w:sz="0" w:space="0" w:color="auto"/>
      </w:divBdr>
    </w:div>
    <w:div w:id="1157266589">
      <w:bodyDiv w:val="1"/>
      <w:marLeft w:val="0"/>
      <w:marRight w:val="0"/>
      <w:marTop w:val="0"/>
      <w:marBottom w:val="0"/>
      <w:divBdr>
        <w:top w:val="none" w:sz="0" w:space="0" w:color="auto"/>
        <w:left w:val="none" w:sz="0" w:space="0" w:color="auto"/>
        <w:bottom w:val="none" w:sz="0" w:space="0" w:color="auto"/>
        <w:right w:val="none" w:sz="0" w:space="0" w:color="auto"/>
      </w:divBdr>
    </w:div>
    <w:div w:id="1211306816">
      <w:bodyDiv w:val="1"/>
      <w:marLeft w:val="0"/>
      <w:marRight w:val="0"/>
      <w:marTop w:val="0"/>
      <w:marBottom w:val="0"/>
      <w:divBdr>
        <w:top w:val="none" w:sz="0" w:space="0" w:color="auto"/>
        <w:left w:val="none" w:sz="0" w:space="0" w:color="auto"/>
        <w:bottom w:val="none" w:sz="0" w:space="0" w:color="auto"/>
        <w:right w:val="none" w:sz="0" w:space="0" w:color="auto"/>
      </w:divBdr>
    </w:div>
    <w:div w:id="1226261830">
      <w:bodyDiv w:val="1"/>
      <w:marLeft w:val="0"/>
      <w:marRight w:val="0"/>
      <w:marTop w:val="0"/>
      <w:marBottom w:val="0"/>
      <w:divBdr>
        <w:top w:val="none" w:sz="0" w:space="0" w:color="auto"/>
        <w:left w:val="none" w:sz="0" w:space="0" w:color="auto"/>
        <w:bottom w:val="none" w:sz="0" w:space="0" w:color="auto"/>
        <w:right w:val="none" w:sz="0" w:space="0" w:color="auto"/>
      </w:divBdr>
    </w:div>
    <w:div w:id="1283227601">
      <w:bodyDiv w:val="1"/>
      <w:marLeft w:val="0"/>
      <w:marRight w:val="0"/>
      <w:marTop w:val="0"/>
      <w:marBottom w:val="0"/>
      <w:divBdr>
        <w:top w:val="none" w:sz="0" w:space="0" w:color="auto"/>
        <w:left w:val="none" w:sz="0" w:space="0" w:color="auto"/>
        <w:bottom w:val="none" w:sz="0" w:space="0" w:color="auto"/>
        <w:right w:val="none" w:sz="0" w:space="0" w:color="auto"/>
      </w:divBdr>
    </w:div>
    <w:div w:id="1295135441">
      <w:bodyDiv w:val="1"/>
      <w:marLeft w:val="0"/>
      <w:marRight w:val="0"/>
      <w:marTop w:val="0"/>
      <w:marBottom w:val="0"/>
      <w:divBdr>
        <w:top w:val="none" w:sz="0" w:space="0" w:color="auto"/>
        <w:left w:val="none" w:sz="0" w:space="0" w:color="auto"/>
        <w:bottom w:val="none" w:sz="0" w:space="0" w:color="auto"/>
        <w:right w:val="none" w:sz="0" w:space="0" w:color="auto"/>
      </w:divBdr>
      <w:divsChild>
        <w:div w:id="965282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265554">
      <w:bodyDiv w:val="1"/>
      <w:marLeft w:val="0"/>
      <w:marRight w:val="0"/>
      <w:marTop w:val="0"/>
      <w:marBottom w:val="0"/>
      <w:divBdr>
        <w:top w:val="none" w:sz="0" w:space="0" w:color="auto"/>
        <w:left w:val="none" w:sz="0" w:space="0" w:color="auto"/>
        <w:bottom w:val="none" w:sz="0" w:space="0" w:color="auto"/>
        <w:right w:val="none" w:sz="0" w:space="0" w:color="auto"/>
      </w:divBdr>
    </w:div>
    <w:div w:id="1343318047">
      <w:bodyDiv w:val="1"/>
      <w:marLeft w:val="0"/>
      <w:marRight w:val="0"/>
      <w:marTop w:val="0"/>
      <w:marBottom w:val="0"/>
      <w:divBdr>
        <w:top w:val="none" w:sz="0" w:space="0" w:color="auto"/>
        <w:left w:val="none" w:sz="0" w:space="0" w:color="auto"/>
        <w:bottom w:val="none" w:sz="0" w:space="0" w:color="auto"/>
        <w:right w:val="none" w:sz="0" w:space="0" w:color="auto"/>
      </w:divBdr>
    </w:div>
    <w:div w:id="1383990375">
      <w:bodyDiv w:val="1"/>
      <w:marLeft w:val="0"/>
      <w:marRight w:val="0"/>
      <w:marTop w:val="0"/>
      <w:marBottom w:val="0"/>
      <w:divBdr>
        <w:top w:val="none" w:sz="0" w:space="0" w:color="auto"/>
        <w:left w:val="none" w:sz="0" w:space="0" w:color="auto"/>
        <w:bottom w:val="none" w:sz="0" w:space="0" w:color="auto"/>
        <w:right w:val="none" w:sz="0" w:space="0" w:color="auto"/>
      </w:divBdr>
    </w:div>
    <w:div w:id="1411466360">
      <w:bodyDiv w:val="1"/>
      <w:marLeft w:val="0"/>
      <w:marRight w:val="0"/>
      <w:marTop w:val="0"/>
      <w:marBottom w:val="0"/>
      <w:divBdr>
        <w:top w:val="none" w:sz="0" w:space="0" w:color="auto"/>
        <w:left w:val="none" w:sz="0" w:space="0" w:color="auto"/>
        <w:bottom w:val="none" w:sz="0" w:space="0" w:color="auto"/>
        <w:right w:val="none" w:sz="0" w:space="0" w:color="auto"/>
      </w:divBdr>
      <w:divsChild>
        <w:div w:id="1404840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5588576">
      <w:bodyDiv w:val="1"/>
      <w:marLeft w:val="0"/>
      <w:marRight w:val="0"/>
      <w:marTop w:val="0"/>
      <w:marBottom w:val="0"/>
      <w:divBdr>
        <w:top w:val="none" w:sz="0" w:space="0" w:color="auto"/>
        <w:left w:val="none" w:sz="0" w:space="0" w:color="auto"/>
        <w:bottom w:val="none" w:sz="0" w:space="0" w:color="auto"/>
        <w:right w:val="none" w:sz="0" w:space="0" w:color="auto"/>
      </w:divBdr>
    </w:div>
    <w:div w:id="1467771444">
      <w:bodyDiv w:val="1"/>
      <w:marLeft w:val="0"/>
      <w:marRight w:val="0"/>
      <w:marTop w:val="0"/>
      <w:marBottom w:val="0"/>
      <w:divBdr>
        <w:top w:val="none" w:sz="0" w:space="0" w:color="auto"/>
        <w:left w:val="none" w:sz="0" w:space="0" w:color="auto"/>
        <w:bottom w:val="none" w:sz="0" w:space="0" w:color="auto"/>
        <w:right w:val="none" w:sz="0" w:space="0" w:color="auto"/>
      </w:divBdr>
      <w:divsChild>
        <w:div w:id="782191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7498772">
      <w:bodyDiv w:val="1"/>
      <w:marLeft w:val="0"/>
      <w:marRight w:val="0"/>
      <w:marTop w:val="0"/>
      <w:marBottom w:val="0"/>
      <w:divBdr>
        <w:top w:val="none" w:sz="0" w:space="0" w:color="auto"/>
        <w:left w:val="none" w:sz="0" w:space="0" w:color="auto"/>
        <w:bottom w:val="none" w:sz="0" w:space="0" w:color="auto"/>
        <w:right w:val="none" w:sz="0" w:space="0" w:color="auto"/>
      </w:divBdr>
    </w:div>
    <w:div w:id="1588341677">
      <w:bodyDiv w:val="1"/>
      <w:marLeft w:val="0"/>
      <w:marRight w:val="0"/>
      <w:marTop w:val="0"/>
      <w:marBottom w:val="0"/>
      <w:divBdr>
        <w:top w:val="none" w:sz="0" w:space="0" w:color="auto"/>
        <w:left w:val="none" w:sz="0" w:space="0" w:color="auto"/>
        <w:bottom w:val="none" w:sz="0" w:space="0" w:color="auto"/>
        <w:right w:val="none" w:sz="0" w:space="0" w:color="auto"/>
      </w:divBdr>
    </w:div>
    <w:div w:id="1594124854">
      <w:bodyDiv w:val="1"/>
      <w:marLeft w:val="0"/>
      <w:marRight w:val="0"/>
      <w:marTop w:val="0"/>
      <w:marBottom w:val="0"/>
      <w:divBdr>
        <w:top w:val="none" w:sz="0" w:space="0" w:color="auto"/>
        <w:left w:val="none" w:sz="0" w:space="0" w:color="auto"/>
        <w:bottom w:val="none" w:sz="0" w:space="0" w:color="auto"/>
        <w:right w:val="none" w:sz="0" w:space="0" w:color="auto"/>
      </w:divBdr>
    </w:div>
    <w:div w:id="1602176022">
      <w:bodyDiv w:val="1"/>
      <w:marLeft w:val="0"/>
      <w:marRight w:val="0"/>
      <w:marTop w:val="0"/>
      <w:marBottom w:val="0"/>
      <w:divBdr>
        <w:top w:val="none" w:sz="0" w:space="0" w:color="auto"/>
        <w:left w:val="none" w:sz="0" w:space="0" w:color="auto"/>
        <w:bottom w:val="none" w:sz="0" w:space="0" w:color="auto"/>
        <w:right w:val="none" w:sz="0" w:space="0" w:color="auto"/>
      </w:divBdr>
    </w:div>
    <w:div w:id="1609697444">
      <w:bodyDiv w:val="1"/>
      <w:marLeft w:val="0"/>
      <w:marRight w:val="0"/>
      <w:marTop w:val="0"/>
      <w:marBottom w:val="0"/>
      <w:divBdr>
        <w:top w:val="none" w:sz="0" w:space="0" w:color="auto"/>
        <w:left w:val="none" w:sz="0" w:space="0" w:color="auto"/>
        <w:bottom w:val="none" w:sz="0" w:space="0" w:color="auto"/>
        <w:right w:val="none" w:sz="0" w:space="0" w:color="auto"/>
      </w:divBdr>
    </w:div>
    <w:div w:id="1612664139">
      <w:bodyDiv w:val="1"/>
      <w:marLeft w:val="0"/>
      <w:marRight w:val="0"/>
      <w:marTop w:val="0"/>
      <w:marBottom w:val="0"/>
      <w:divBdr>
        <w:top w:val="none" w:sz="0" w:space="0" w:color="auto"/>
        <w:left w:val="none" w:sz="0" w:space="0" w:color="auto"/>
        <w:bottom w:val="none" w:sz="0" w:space="0" w:color="auto"/>
        <w:right w:val="none" w:sz="0" w:space="0" w:color="auto"/>
      </w:divBdr>
    </w:div>
    <w:div w:id="1667854786">
      <w:bodyDiv w:val="1"/>
      <w:marLeft w:val="0"/>
      <w:marRight w:val="0"/>
      <w:marTop w:val="0"/>
      <w:marBottom w:val="0"/>
      <w:divBdr>
        <w:top w:val="none" w:sz="0" w:space="0" w:color="auto"/>
        <w:left w:val="none" w:sz="0" w:space="0" w:color="auto"/>
        <w:bottom w:val="none" w:sz="0" w:space="0" w:color="auto"/>
        <w:right w:val="none" w:sz="0" w:space="0" w:color="auto"/>
      </w:divBdr>
    </w:div>
    <w:div w:id="1763258942">
      <w:bodyDiv w:val="1"/>
      <w:marLeft w:val="0"/>
      <w:marRight w:val="0"/>
      <w:marTop w:val="0"/>
      <w:marBottom w:val="0"/>
      <w:divBdr>
        <w:top w:val="none" w:sz="0" w:space="0" w:color="auto"/>
        <w:left w:val="none" w:sz="0" w:space="0" w:color="auto"/>
        <w:bottom w:val="none" w:sz="0" w:space="0" w:color="auto"/>
        <w:right w:val="none" w:sz="0" w:space="0" w:color="auto"/>
      </w:divBdr>
    </w:div>
    <w:div w:id="1781946448">
      <w:bodyDiv w:val="1"/>
      <w:marLeft w:val="0"/>
      <w:marRight w:val="0"/>
      <w:marTop w:val="0"/>
      <w:marBottom w:val="0"/>
      <w:divBdr>
        <w:top w:val="none" w:sz="0" w:space="0" w:color="auto"/>
        <w:left w:val="none" w:sz="0" w:space="0" w:color="auto"/>
        <w:bottom w:val="none" w:sz="0" w:space="0" w:color="auto"/>
        <w:right w:val="none" w:sz="0" w:space="0" w:color="auto"/>
      </w:divBdr>
    </w:div>
    <w:div w:id="1809784950">
      <w:bodyDiv w:val="1"/>
      <w:marLeft w:val="0"/>
      <w:marRight w:val="0"/>
      <w:marTop w:val="0"/>
      <w:marBottom w:val="0"/>
      <w:divBdr>
        <w:top w:val="none" w:sz="0" w:space="0" w:color="auto"/>
        <w:left w:val="none" w:sz="0" w:space="0" w:color="auto"/>
        <w:bottom w:val="none" w:sz="0" w:space="0" w:color="auto"/>
        <w:right w:val="none" w:sz="0" w:space="0" w:color="auto"/>
      </w:divBdr>
    </w:div>
    <w:div w:id="1840386572">
      <w:bodyDiv w:val="1"/>
      <w:marLeft w:val="0"/>
      <w:marRight w:val="0"/>
      <w:marTop w:val="0"/>
      <w:marBottom w:val="0"/>
      <w:divBdr>
        <w:top w:val="none" w:sz="0" w:space="0" w:color="auto"/>
        <w:left w:val="none" w:sz="0" w:space="0" w:color="auto"/>
        <w:bottom w:val="none" w:sz="0" w:space="0" w:color="auto"/>
        <w:right w:val="none" w:sz="0" w:space="0" w:color="auto"/>
      </w:divBdr>
    </w:div>
    <w:div w:id="1914390237">
      <w:bodyDiv w:val="1"/>
      <w:marLeft w:val="0"/>
      <w:marRight w:val="0"/>
      <w:marTop w:val="0"/>
      <w:marBottom w:val="0"/>
      <w:divBdr>
        <w:top w:val="none" w:sz="0" w:space="0" w:color="auto"/>
        <w:left w:val="none" w:sz="0" w:space="0" w:color="auto"/>
        <w:bottom w:val="none" w:sz="0" w:space="0" w:color="auto"/>
        <w:right w:val="none" w:sz="0" w:space="0" w:color="auto"/>
      </w:divBdr>
    </w:div>
    <w:div w:id="1934246074">
      <w:bodyDiv w:val="1"/>
      <w:marLeft w:val="0"/>
      <w:marRight w:val="0"/>
      <w:marTop w:val="0"/>
      <w:marBottom w:val="0"/>
      <w:divBdr>
        <w:top w:val="none" w:sz="0" w:space="0" w:color="auto"/>
        <w:left w:val="none" w:sz="0" w:space="0" w:color="auto"/>
        <w:bottom w:val="none" w:sz="0" w:space="0" w:color="auto"/>
        <w:right w:val="none" w:sz="0" w:space="0" w:color="auto"/>
      </w:divBdr>
    </w:div>
    <w:div w:id="2008288042">
      <w:bodyDiv w:val="1"/>
      <w:marLeft w:val="0"/>
      <w:marRight w:val="0"/>
      <w:marTop w:val="0"/>
      <w:marBottom w:val="0"/>
      <w:divBdr>
        <w:top w:val="none" w:sz="0" w:space="0" w:color="auto"/>
        <w:left w:val="none" w:sz="0" w:space="0" w:color="auto"/>
        <w:bottom w:val="none" w:sz="0" w:space="0" w:color="auto"/>
        <w:right w:val="none" w:sz="0" w:space="0" w:color="auto"/>
      </w:divBdr>
    </w:div>
    <w:div w:id="2098011307">
      <w:bodyDiv w:val="1"/>
      <w:marLeft w:val="0"/>
      <w:marRight w:val="0"/>
      <w:marTop w:val="0"/>
      <w:marBottom w:val="0"/>
      <w:divBdr>
        <w:top w:val="none" w:sz="0" w:space="0" w:color="auto"/>
        <w:left w:val="none" w:sz="0" w:space="0" w:color="auto"/>
        <w:bottom w:val="none" w:sz="0" w:space="0" w:color="auto"/>
        <w:right w:val="none" w:sz="0" w:space="0" w:color="auto"/>
      </w:divBdr>
    </w:div>
    <w:div w:id="212835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RobisaIber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obisa.es/shop/123-hollylan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bisa.es/hollyland/" TargetMode="External"/><Relationship Id="rId5" Type="http://schemas.openxmlformats.org/officeDocument/2006/relationships/numbering" Target="numbering.xml"/><Relationship Id="rId15" Type="http://schemas.openxmlformats.org/officeDocument/2006/relationships/hyperlink" Target="https://twitter.com/ROBIS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robisa.es/"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robisa.es" TargetMode="External"/><Relationship Id="rId1" Type="http://schemas.openxmlformats.org/officeDocument/2006/relationships/hyperlink" Target="mailto:info@robisa.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8A303"/>
      </a:accent1>
      <a:accent2>
        <a:srgbClr val="0369A3"/>
      </a:accent2>
      <a:accent3>
        <a:srgbClr val="A33E03"/>
      </a:accent3>
      <a:accent4>
        <a:srgbClr val="8E03A3"/>
      </a:accent4>
      <a:accent5>
        <a:srgbClr val="C99C00"/>
      </a:accent5>
      <a:accent6>
        <a:srgbClr val="C9211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noFill/>
          <a:miter lim="400000"/>
        </a:ln>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12700" cap="flat">
          <a:noFill/>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40F9E4686AAB4F8179A0674F8D61F5" ma:contentTypeVersion="21" ma:contentTypeDescription="Create a new document." ma:contentTypeScope="" ma:versionID="8624c1e4f9ef38b2b493ac77d1d2453b">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ab148b39eedb0d653745d52326979de7"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i07687df2e2740ee8e2dfcf0c76d8e72 xmlns="d799b62a-f97d-4e27-8a79-b2c30228b78d">
      <Terms xmlns="http://schemas.microsoft.com/office/infopath/2007/PartnerControls"/>
    </i07687df2e2740ee8e2dfcf0c76d8e72>
    <TaxCatchAll xmlns="877e4dda-f991-41a3-84db-35a976faa0e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40BB9-E90A-4764-BD7D-148796DF741E}"/>
</file>

<file path=customXml/itemProps2.xml><?xml version="1.0" encoding="utf-8"?>
<ds:datastoreItem xmlns:ds="http://schemas.openxmlformats.org/officeDocument/2006/customXml" ds:itemID="{22114428-E459-435F-9029-E38A0DBB0B49}">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3.xml><?xml version="1.0" encoding="utf-8"?>
<ds:datastoreItem xmlns:ds="http://schemas.openxmlformats.org/officeDocument/2006/customXml" ds:itemID="{0A7043A1-04A8-4F12-A012-2255D3984467}">
  <ds:schemaRefs>
    <ds:schemaRef ds:uri="http://schemas.microsoft.com/sharepoint/v3/contenttype/forms"/>
  </ds:schemaRefs>
</ds:datastoreItem>
</file>

<file path=customXml/itemProps4.xml><?xml version="1.0" encoding="utf-8"?>
<ds:datastoreItem xmlns:ds="http://schemas.openxmlformats.org/officeDocument/2006/customXml" ds:itemID="{75433817-0108-4DD6-83CC-CD38EC6C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Pages>
  <Words>885</Words>
  <Characters>4869</Characters>
  <Application>Microsoft Office Word</Application>
  <DocSecurity>0</DocSecurity>
  <Lines>40</Lines>
  <Paragraphs>11</Paragraphs>
  <ScaleCrop>false</ScaleCrop>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hollyland</dc:creator>
  <cp:lastModifiedBy>Andrea Velez</cp:lastModifiedBy>
  <cp:revision>98</cp:revision>
  <dcterms:created xsi:type="dcterms:W3CDTF">2025-06-30T10:51:00Z</dcterms:created>
  <dcterms:modified xsi:type="dcterms:W3CDTF">2026-08-25T09:16:00Z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24E9E17ABF6549679D3A4D93F47CD6B1_13</vt:lpwstr>
  </property>
  <property fmtid="{D5CDD505-2E9C-101B-9397-08002B2CF9AE}" pid="4" name="ContentTypeId">
    <vt:lpwstr>0x010100BE40F9E4686AAB4F8179A0674F8D61F5</vt:lpwstr>
  </property>
  <property fmtid="{D5CDD505-2E9C-101B-9397-08002B2CF9AE}" pid="5" name="MediaServiceImageTags">
    <vt:lpwstr/>
  </property>
  <property fmtid="{D5CDD505-2E9C-101B-9397-08002B2CF9AE}" pid="6" name="Peso archivo">
    <vt:lpwstr/>
  </property>
  <property fmtid="{D5CDD505-2E9C-101B-9397-08002B2CF9AE}" pid="7" name="Peso_x0020_archivo">
    <vt:lpwstr/>
  </property>
</Properties>
</file>